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FA8B" w14:textId="77777777" w:rsidR="00187785" w:rsidRDefault="00187785">
      <w:pPr>
        <w:tabs>
          <w:tab w:val="left" w:pos="1182"/>
          <w:tab w:val="left" w:pos="6317"/>
          <w:tab w:val="right" w:pos="9639"/>
        </w:tabs>
        <w:spacing w:before="120" w:after="120" w:line="360" w:lineRule="auto"/>
        <w:rPr>
          <w:b/>
          <w:sz w:val="24"/>
          <w:szCs w:val="24"/>
        </w:rPr>
      </w:pPr>
    </w:p>
    <w:p w14:paraId="48C477F1" w14:textId="77777777" w:rsidR="00187785" w:rsidRDefault="00DE75F8">
      <w:pPr>
        <w:pStyle w:val="IntenseQuote"/>
        <w:spacing w:before="120" w:after="120" w:line="360" w:lineRule="auto"/>
        <w:rPr>
          <w:sz w:val="36"/>
          <w:szCs w:val="36"/>
        </w:rPr>
      </w:pPr>
      <w:r>
        <w:rPr>
          <w:sz w:val="36"/>
          <w:szCs w:val="36"/>
        </w:rPr>
        <w:t>Πανελλαδική έρευνα RE/MAX: Τι ακίνητα επέλεξαν οι αγοραστές το 2022</w:t>
      </w:r>
    </w:p>
    <w:p w14:paraId="343A4366" w14:textId="77777777" w:rsidR="00187785" w:rsidRDefault="00187785"/>
    <w:p w14:paraId="3A387AA5" w14:textId="77777777" w:rsidR="00187785" w:rsidRDefault="00DE75F8">
      <w:pPr>
        <w:tabs>
          <w:tab w:val="right" w:pos="9639"/>
        </w:tabs>
        <w:spacing w:before="120" w:after="12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Τα διαμερίσματα, οι μονοκατοικίες και οι </w:t>
      </w:r>
      <w:proofErr w:type="spellStart"/>
      <w:r>
        <w:rPr>
          <w:color w:val="000000"/>
          <w:shd w:val="clear" w:color="auto" w:fill="FFFFFF"/>
        </w:rPr>
        <w:t>μεζονέτες</w:t>
      </w:r>
      <w:proofErr w:type="spellEnd"/>
      <w:r>
        <w:rPr>
          <w:color w:val="000000"/>
          <w:shd w:val="clear" w:color="auto" w:fill="FFFFFF"/>
        </w:rPr>
        <w:t xml:space="preserve"> αναδεικνύονται «πρωταθλητές» στην επιλογή των Ελλήνων αγοραστών ακινήτων, ενώ ακολουθούν τα οικόπεδα και τα αγροτεμάχια και </w:t>
      </w:r>
      <w:r>
        <w:rPr>
          <w:color w:val="000000"/>
          <w:shd w:val="clear" w:color="auto" w:fill="FFFFFF"/>
        </w:rPr>
        <w:t>αμέσως μετά τα γραφεία και τα καταστήματα. Την ίδια στιγμή, όσοι προχωρούν σε αγορές κατοικιών, επιλέγουν - στη συντριπτική τους πλειοψηφία – εκείνα που είναι ηλικίας άνω των 20 ετών.</w:t>
      </w:r>
    </w:p>
    <w:p w14:paraId="23C5D692" w14:textId="77777777" w:rsidR="00187785" w:rsidRDefault="00DE75F8">
      <w:pPr>
        <w:tabs>
          <w:tab w:val="right" w:pos="9639"/>
        </w:tabs>
        <w:spacing w:before="120" w:after="120" w:line="360" w:lineRule="auto"/>
      </w:pPr>
      <w:r>
        <w:rPr>
          <w:color w:val="000000"/>
          <w:shd w:val="clear" w:color="auto" w:fill="FFFFFF"/>
        </w:rPr>
        <w:t>Τα παραπάνω προκύπτουν από τα στοιχεία ολοκληρωμένων αγοραπωλησιών ακινή</w:t>
      </w:r>
      <w:r>
        <w:rPr>
          <w:color w:val="000000"/>
          <w:shd w:val="clear" w:color="auto" w:fill="FFFFFF"/>
        </w:rPr>
        <w:t xml:space="preserve">των που πραγματοποιήθηκαν μέσω του μεγαλύτερου κτηματομεσιτικού δικτύου της χώρας, της </w:t>
      </w:r>
      <w:r>
        <w:rPr>
          <w:color w:val="000000"/>
          <w:shd w:val="clear" w:color="auto" w:fill="FFFFFF"/>
          <w:lang w:val="en-US"/>
        </w:rPr>
        <w:t>RE</w:t>
      </w:r>
      <w:r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 xml:space="preserve"> Ελλάς, που διαθέτει 81 γραφεία και περισσότερους από 1.000 συμβούλους ακινήτων σε ολόκληρη την επικράτεια. Από την ανάλυση των στοιχείων των αγοραπωλησιών προκύπτ</w:t>
      </w:r>
      <w:r>
        <w:rPr>
          <w:color w:val="000000"/>
          <w:shd w:val="clear" w:color="auto" w:fill="FFFFFF"/>
        </w:rPr>
        <w:t>ει ότι π</w:t>
      </w:r>
      <w:r>
        <w:t xml:space="preserve">ερισσότερα από 7 στα 10 ακίνητα που πωλήθηκαν στην Ελλάδα το περασμένο έτος αφορούσαν διαμερίσματα, μονοκατοικίες ή </w:t>
      </w:r>
      <w:proofErr w:type="spellStart"/>
      <w:r>
        <w:t>μεζονέτες</w:t>
      </w:r>
      <w:proofErr w:type="spellEnd"/>
      <w:r>
        <w:t xml:space="preserve"> και τα υπόλοιπα επαγγελματικά ακίνητα, οικόπεδα και αγροτεμάχια. </w:t>
      </w:r>
    </w:p>
    <w:p w14:paraId="77C57594" w14:textId="77777777" w:rsidR="00187785" w:rsidRDefault="00DE75F8">
      <w:pPr>
        <w:tabs>
          <w:tab w:val="right" w:pos="9639"/>
        </w:tabs>
        <w:spacing w:before="120" w:after="12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Ιδιαίτερο ενδιαφέρον έχουν τα στοιχεία του δικτύου της R</w:t>
      </w:r>
      <w:r>
        <w:rPr>
          <w:color w:val="000000"/>
          <w:shd w:val="clear" w:color="auto" w:fill="FFFFFF"/>
        </w:rPr>
        <w:t xml:space="preserve">E/MAX όχι μόνο για το είδος αλλά και για την παλαιότητα των ακινήτων που επέλεξαν οι αγοραστές το 2022 πανελλαδικά. </w:t>
      </w:r>
      <w:r>
        <w:t>Το 70% εκείνων που προτίμησαν να αγοράσουν κατοικία, επέλεξαν να είναι ηλικίας άνω των 20 ετών, καθώς με αυτόν τον τρόπο εξασφάλισαν χαμηλότ</w:t>
      </w:r>
      <w:r>
        <w:t xml:space="preserve">ερες τιμές σε σύγκριση με αντίστοιχα νεότερα ακίνητα και μελλοντικές υπεραξίες. </w:t>
      </w:r>
    </w:p>
    <w:p w14:paraId="6D3CA719" w14:textId="77777777" w:rsidR="00187785" w:rsidRDefault="00DE75F8">
      <w:pPr>
        <w:tabs>
          <w:tab w:val="right" w:pos="9639"/>
        </w:tabs>
        <w:spacing w:before="120" w:after="120" w:line="360" w:lineRule="auto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 xml:space="preserve">Κατανομή </w:t>
      </w:r>
      <w:proofErr w:type="spellStart"/>
      <w:r>
        <w:rPr>
          <w:b/>
          <w:color w:val="4F81BD" w:themeColor="accent1"/>
          <w:u w:val="single"/>
        </w:rPr>
        <w:t>πωληθέντων</w:t>
      </w:r>
      <w:proofErr w:type="spellEnd"/>
      <w:r>
        <w:rPr>
          <w:b/>
          <w:color w:val="4F81BD" w:themeColor="accent1"/>
          <w:u w:val="single"/>
        </w:rPr>
        <w:t xml:space="preserve"> ακινήτων βάσει είδους ακινήτου</w:t>
      </w:r>
    </w:p>
    <w:p w14:paraId="4AE35F7F" w14:textId="77777777" w:rsidR="00187785" w:rsidRDefault="00DE75F8">
      <w:pPr>
        <w:tabs>
          <w:tab w:val="right" w:pos="9639"/>
        </w:tabs>
        <w:spacing w:before="120" w:after="120" w:line="360" w:lineRule="auto"/>
      </w:pPr>
      <w:r>
        <w:t xml:space="preserve">Σύμφωνα με την αναλυτική κατανομή των </w:t>
      </w:r>
      <w:proofErr w:type="spellStart"/>
      <w:r>
        <w:t>πωληθέντων</w:t>
      </w:r>
      <w:proofErr w:type="spellEnd"/>
      <w:r>
        <w:t xml:space="preserve"> ακινήτων πανελλαδικά ως προς το είδος του ακινήτου, όπως προκύπτει από τα σ</w:t>
      </w:r>
      <w:r>
        <w:t xml:space="preserve">τοιχεία που κατέγραψε το δίκτυο της </w:t>
      </w:r>
      <w:r>
        <w:rPr>
          <w:lang w:val="en-US"/>
        </w:rPr>
        <w:t>RE</w:t>
      </w:r>
      <w:r>
        <w:t>/</w:t>
      </w:r>
      <w:r>
        <w:rPr>
          <w:lang w:val="en-US"/>
        </w:rPr>
        <w:t>MAX</w:t>
      </w:r>
      <w:r>
        <w:t xml:space="preserve"> Ελλάς, 75 στα 100 ακίνητα (75,3% επί του συνόλου) που πωλήθηκαν στο σύνολο της επικράτειας αφορούσαν κατοικίες (διαμερίσματα/ μονοκατοικίες/</w:t>
      </w:r>
      <w:proofErr w:type="spellStart"/>
      <w:r>
        <w:t>μεζονέτες</w:t>
      </w:r>
      <w:proofErr w:type="spellEnd"/>
      <w:r>
        <w:t>), ενώ τα οικόπεδα-αγροτεμάχια καθώς και τα επαγγελματικά ακίνητ</w:t>
      </w:r>
      <w:r>
        <w:t>α είχαν πολύ μικρότερο μερίδιο της τάξεως του 19,5% και 5,2% αντίστοιχα (γράφημα 1) .</w:t>
      </w:r>
    </w:p>
    <w:p w14:paraId="0FD356E4" w14:textId="77777777" w:rsidR="00187785" w:rsidRDefault="00187785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</w:p>
    <w:p w14:paraId="39B934CE" w14:textId="77777777" w:rsidR="00187785" w:rsidRDefault="00187785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</w:p>
    <w:p w14:paraId="112BA3B9" w14:textId="77777777" w:rsidR="00187785" w:rsidRDefault="00187785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</w:p>
    <w:p w14:paraId="52349E5D" w14:textId="77777777" w:rsidR="00187785" w:rsidRDefault="00DE75F8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Γράφημα 1</w:t>
      </w:r>
    </w:p>
    <w:p w14:paraId="47AC2B6E" w14:textId="77777777" w:rsidR="00187785" w:rsidRDefault="00DE75F8">
      <w:pPr>
        <w:tabs>
          <w:tab w:val="right" w:pos="9639"/>
        </w:tabs>
        <w:spacing w:before="120" w:after="120" w:line="360" w:lineRule="auto"/>
        <w:ind w:left="7260" w:hangingChars="3300" w:hanging="7260"/>
      </w:pPr>
      <w:r>
        <w:rPr>
          <w:noProof/>
        </w:rPr>
        <w:drawing>
          <wp:inline distT="0" distB="0" distL="0" distR="0" wp14:anchorId="4F9C27CD" wp14:editId="34AFD105">
            <wp:extent cx="6080760" cy="3239770"/>
            <wp:effectExtent l="0" t="0" r="0" b="0"/>
            <wp:docPr id="7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Πηγή : </w:t>
      </w:r>
      <w:r>
        <w:rPr>
          <w:lang w:val="en-US"/>
        </w:rPr>
        <w:t>RE</w:t>
      </w:r>
      <w:r w:rsidRPr="00DE75F8">
        <w:t>/</w:t>
      </w:r>
      <w:r>
        <w:rPr>
          <w:lang w:val="en-US"/>
        </w:rPr>
        <w:t>MAX</w:t>
      </w:r>
      <w:r w:rsidRPr="00DE75F8">
        <w:t xml:space="preserve"> </w:t>
      </w:r>
      <w:r>
        <w:t>Ελλάς</w:t>
      </w:r>
    </w:p>
    <w:p w14:paraId="330AE60A" w14:textId="77777777" w:rsidR="00187785" w:rsidRDefault="00DE75F8">
      <w:pPr>
        <w:tabs>
          <w:tab w:val="right" w:pos="9639"/>
        </w:tabs>
        <w:spacing w:before="120" w:after="120" w:line="360" w:lineRule="auto"/>
      </w:pPr>
      <w:r>
        <w:t xml:space="preserve">Στην Αττική, το 87,3% των </w:t>
      </w:r>
      <w:proofErr w:type="spellStart"/>
      <w:r>
        <w:t>πωληθέντων</w:t>
      </w:r>
      <w:proofErr w:type="spellEnd"/>
      <w:r>
        <w:t xml:space="preserve"> ακινήτων ήταν κατοικίες. Τα οικόπεδα-αγροτεμάχια κάλυψαν το 7,5% του συνόλου των αγοραπωλησιών, ενώ</w:t>
      </w:r>
      <w:r>
        <w:t xml:space="preserve"> 5,2% ήταν το ποσοστό για τα επαγγελματικά ακίνητα (γράφημα 2).</w:t>
      </w:r>
    </w:p>
    <w:p w14:paraId="4427E79F" w14:textId="77777777" w:rsidR="00187785" w:rsidRDefault="00DE75F8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Γράφημα 2</w:t>
      </w:r>
    </w:p>
    <w:p w14:paraId="49ED9E5F" w14:textId="77777777" w:rsidR="00187785" w:rsidRDefault="00DE75F8">
      <w:pPr>
        <w:tabs>
          <w:tab w:val="right" w:pos="9639"/>
        </w:tabs>
        <w:spacing w:before="120" w:after="120" w:line="360" w:lineRule="auto"/>
        <w:ind w:left="7260" w:hangingChars="3300" w:hanging="7260"/>
      </w:pPr>
      <w:r>
        <w:rPr>
          <w:noProof/>
        </w:rPr>
        <w:drawing>
          <wp:inline distT="0" distB="0" distL="0" distR="0" wp14:anchorId="57F275B8" wp14:editId="0B9B09EF">
            <wp:extent cx="6019800" cy="3239770"/>
            <wp:effectExtent l="0" t="0" r="0" b="0"/>
            <wp:docPr id="12" name="Γράφημα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>Πηγή</w:t>
      </w:r>
      <w:r>
        <w:t xml:space="preserve"> : </w:t>
      </w:r>
      <w:r>
        <w:rPr>
          <w:lang w:val="en-US"/>
        </w:rPr>
        <w:t>RE</w:t>
      </w:r>
      <w:r w:rsidRPr="00DE75F8">
        <w:t>/</w:t>
      </w:r>
      <w:r>
        <w:rPr>
          <w:lang w:val="en-US"/>
        </w:rPr>
        <w:t>MAX</w:t>
      </w:r>
      <w:r w:rsidRPr="00DE75F8">
        <w:t xml:space="preserve"> </w:t>
      </w:r>
      <w:r>
        <w:t xml:space="preserve">Ελλάς                                                                                                                  </w:t>
      </w:r>
    </w:p>
    <w:p w14:paraId="3BE173A9" w14:textId="77777777" w:rsidR="00187785" w:rsidRDefault="00DE75F8">
      <w:pPr>
        <w:tabs>
          <w:tab w:val="right" w:pos="9639"/>
        </w:tabs>
        <w:spacing w:before="120" w:after="120" w:line="360" w:lineRule="auto"/>
      </w:pPr>
      <w:r>
        <w:lastRenderedPageBreak/>
        <w:t xml:space="preserve">Στη Θεσσαλονίκη, σχεδόν το σύνολο των </w:t>
      </w:r>
      <w:proofErr w:type="spellStart"/>
      <w:r>
        <w:t>πωληθέντων</w:t>
      </w:r>
      <w:proofErr w:type="spellEnd"/>
      <w:r>
        <w:t xml:space="preserve"> ακινήτων (ποσοστό 90,2%) αφορά κατοικίες, το 4,7% οικόπεδα-αγροτεμάχια και το 5,1% επαγ</w:t>
      </w:r>
      <w:r>
        <w:t>γελματικά ακίνητα (γράφημα 3).</w:t>
      </w:r>
    </w:p>
    <w:p w14:paraId="531EE95E" w14:textId="77777777" w:rsidR="00187785" w:rsidRDefault="00DE75F8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Γράφημα 3</w:t>
      </w:r>
    </w:p>
    <w:p w14:paraId="63EBA638" w14:textId="77777777" w:rsidR="00187785" w:rsidRDefault="00DE75F8">
      <w:pPr>
        <w:tabs>
          <w:tab w:val="right" w:pos="9639"/>
        </w:tabs>
        <w:spacing w:before="120" w:after="120" w:line="360" w:lineRule="auto"/>
        <w:ind w:left="7260" w:hangingChars="3300" w:hanging="7260"/>
      </w:pPr>
      <w:r>
        <w:rPr>
          <w:noProof/>
        </w:rPr>
        <w:drawing>
          <wp:inline distT="0" distB="0" distL="0" distR="0" wp14:anchorId="55D8D37D" wp14:editId="7A364F0E">
            <wp:extent cx="6012180" cy="3239770"/>
            <wp:effectExtent l="0" t="0" r="7620" b="0"/>
            <wp:docPr id="13" name="Γράφημα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>Πηγή</w:t>
      </w:r>
      <w:r>
        <w:t xml:space="preserve"> : </w:t>
      </w:r>
      <w:r>
        <w:rPr>
          <w:lang w:val="en-US"/>
        </w:rPr>
        <w:t>RE</w:t>
      </w:r>
      <w:r w:rsidRPr="00DE75F8">
        <w:t>/</w:t>
      </w:r>
      <w:r>
        <w:rPr>
          <w:lang w:val="en-US"/>
        </w:rPr>
        <w:t>MAX</w:t>
      </w:r>
      <w:r w:rsidRPr="00DE75F8">
        <w:t xml:space="preserve"> </w:t>
      </w:r>
      <w:r>
        <w:t xml:space="preserve">Ελλάς                                                                                                                </w:t>
      </w:r>
    </w:p>
    <w:p w14:paraId="6254A1D6" w14:textId="77777777" w:rsidR="00187785" w:rsidRDefault="00DE75F8">
      <w:pPr>
        <w:tabs>
          <w:tab w:val="right" w:pos="9639"/>
        </w:tabs>
        <w:spacing w:before="120" w:after="120" w:line="360" w:lineRule="auto"/>
      </w:pPr>
      <w:r>
        <w:t>Στην υπόλοιπη Ελλάδα (εκτός Αττικής &amp; Θεσσαλονίκης), στην κορυφή των προτιμήσεων β</w:t>
      </w:r>
      <w:r>
        <w:t>ρέθηκαν οι κατοικίες σε ποσοστό 68,5%, ενώ τα οικόπεδα-αγροτεμάχια κινήθηκαν στο 26,3% επί των συνολικών αγοραπωλησιών και μόλις στο 5,2% τα επαγγελματικά ακίνητα (γράφημα 4).</w:t>
      </w:r>
    </w:p>
    <w:p w14:paraId="63D1735E" w14:textId="77777777" w:rsidR="00187785" w:rsidRDefault="00187785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</w:p>
    <w:p w14:paraId="7543DB2D" w14:textId="77777777" w:rsidR="00187785" w:rsidRPr="00DE75F8" w:rsidRDefault="00DE75F8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Γράφημα 4 </w:t>
      </w:r>
    </w:p>
    <w:p w14:paraId="473C3B1E" w14:textId="77777777" w:rsidR="00187785" w:rsidRDefault="00DE75F8">
      <w:pPr>
        <w:tabs>
          <w:tab w:val="right" w:pos="9639"/>
        </w:tabs>
        <w:spacing w:before="120" w:after="120" w:line="360" w:lineRule="auto"/>
        <w:ind w:left="7040" w:hangingChars="3200" w:hanging="7040"/>
        <w:rPr>
          <w:b/>
          <w:color w:val="4F81BD" w:themeColor="accent1"/>
        </w:rPr>
      </w:pPr>
      <w:r>
        <w:rPr>
          <w:noProof/>
        </w:rPr>
        <w:lastRenderedPageBreak/>
        <w:drawing>
          <wp:inline distT="0" distB="0" distL="0" distR="0" wp14:anchorId="1083B477" wp14:editId="27AEEDC2">
            <wp:extent cx="6030595" cy="3275965"/>
            <wp:effectExtent l="0" t="0" r="8255" b="635"/>
            <wp:docPr id="14" name="Γράφημα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Cs/>
        </w:rPr>
        <w:t xml:space="preserve">Πηγή : </w:t>
      </w:r>
      <w:r>
        <w:rPr>
          <w:bCs/>
          <w:lang w:val="en-US"/>
        </w:rPr>
        <w:t>RE</w:t>
      </w:r>
      <w:r w:rsidRPr="00DE75F8">
        <w:rPr>
          <w:bCs/>
        </w:rPr>
        <w:t>/</w:t>
      </w:r>
      <w:r>
        <w:rPr>
          <w:bCs/>
          <w:lang w:val="en-US"/>
        </w:rPr>
        <w:t>MAX</w:t>
      </w:r>
      <w:r w:rsidRPr="00DE75F8">
        <w:rPr>
          <w:bCs/>
        </w:rPr>
        <w:t xml:space="preserve"> </w:t>
      </w:r>
      <w:r>
        <w:rPr>
          <w:bCs/>
        </w:rPr>
        <w:t xml:space="preserve">Ελλάς </w:t>
      </w:r>
    </w:p>
    <w:p w14:paraId="6CB4CBC8" w14:textId="77777777" w:rsidR="00187785" w:rsidRDefault="00187785">
      <w:pPr>
        <w:tabs>
          <w:tab w:val="right" w:pos="9639"/>
        </w:tabs>
        <w:spacing w:before="120" w:after="120" w:line="360" w:lineRule="auto"/>
        <w:rPr>
          <w:b/>
          <w:color w:val="4F81BD" w:themeColor="accent1"/>
          <w:sz w:val="24"/>
          <w:szCs w:val="24"/>
        </w:rPr>
      </w:pPr>
    </w:p>
    <w:p w14:paraId="6EFAA859" w14:textId="77777777" w:rsidR="00187785" w:rsidRDefault="00DE75F8">
      <w:pPr>
        <w:tabs>
          <w:tab w:val="right" w:pos="9639"/>
        </w:tabs>
        <w:spacing w:before="120" w:after="120" w:line="36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Κατανομή </w:t>
      </w:r>
      <w:proofErr w:type="spellStart"/>
      <w:r>
        <w:rPr>
          <w:b/>
          <w:color w:val="4F81BD" w:themeColor="accent1"/>
          <w:sz w:val="24"/>
          <w:szCs w:val="24"/>
        </w:rPr>
        <w:t>πωληθέντων</w:t>
      </w:r>
      <w:proofErr w:type="spellEnd"/>
      <w:r>
        <w:rPr>
          <w:b/>
          <w:color w:val="4F81BD" w:themeColor="accent1"/>
          <w:sz w:val="24"/>
          <w:szCs w:val="24"/>
        </w:rPr>
        <w:t xml:space="preserve"> ακινήτων βάσει </w:t>
      </w:r>
      <w:r>
        <w:rPr>
          <w:b/>
          <w:color w:val="4F81BD" w:themeColor="accent1"/>
          <w:sz w:val="24"/>
          <w:szCs w:val="24"/>
        </w:rPr>
        <w:t>ηλικίας ακινήτου</w:t>
      </w:r>
    </w:p>
    <w:p w14:paraId="21193F5E" w14:textId="77777777" w:rsidR="00187785" w:rsidRDefault="00DE75F8">
      <w:pPr>
        <w:tabs>
          <w:tab w:val="right" w:pos="9639"/>
        </w:tabs>
        <w:spacing w:before="120" w:after="120" w:line="360" w:lineRule="auto"/>
      </w:pPr>
      <w:r>
        <w:t xml:space="preserve">Ιδιαίτερο ενδιαφέρον έχει η ηλικιακή κατανομή των </w:t>
      </w:r>
      <w:proofErr w:type="spellStart"/>
      <w:r>
        <w:t>πωληθέντων</w:t>
      </w:r>
      <w:proofErr w:type="spellEnd"/>
      <w:r>
        <w:t xml:space="preserve"> ακινήτων. Εστιάζοντας στα οικιστικά ακίνητα, δεδομένου ότι συγκεντρώνουν τα υψηλότερα ποσοστά πώλησης σε όλη τη χώρα, προκύπτει ότι συνεχίζεται η τάση των προηγουμένων ετών, με τ</w:t>
      </w:r>
      <w:r>
        <w:t>ο ενδιαφέρον να εστιάζεται σε παλαιές κατοικίες ηλικίας κατασκευής άνω των 20 ετών σε ποσοστό 73,6%, ενώ τα νεόδμητα και μέχρι 5ετίας άγγιξαν το 7,8%. Οι ενδιάμεσες ηλικιακές κατηγορίες ακινήτων, δηλαδή από 11 έως 15 έτη, συγκέντρωσαν συνολικά το ενδιαφέρο</w:t>
      </w:r>
      <w:r>
        <w:t>ν του 7,7% των τελικών αγοραστών, ενώ από 6 έως 10 έτη μόλις το 3,1% (γράφημα 5).</w:t>
      </w:r>
    </w:p>
    <w:p w14:paraId="60A0B550" w14:textId="77777777" w:rsidR="00187785" w:rsidRDefault="00187785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</w:p>
    <w:p w14:paraId="1058B8CC" w14:textId="77777777" w:rsidR="00187785" w:rsidRDefault="00DE75F8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Γράφημα 5</w:t>
      </w:r>
    </w:p>
    <w:p w14:paraId="36B631D1" w14:textId="77777777" w:rsidR="00187785" w:rsidRDefault="00DE75F8">
      <w:pPr>
        <w:tabs>
          <w:tab w:val="right" w:pos="9639"/>
        </w:tabs>
        <w:spacing w:before="120" w:after="120" w:line="360" w:lineRule="auto"/>
        <w:ind w:left="7040" w:hangingChars="3200" w:hanging="7040"/>
      </w:pPr>
      <w:r>
        <w:rPr>
          <w:noProof/>
        </w:rPr>
        <w:lastRenderedPageBreak/>
        <w:drawing>
          <wp:inline distT="0" distB="0" distL="0" distR="0" wp14:anchorId="7CE3EB9D" wp14:editId="4ED2D275">
            <wp:extent cx="5775960" cy="3779520"/>
            <wp:effectExtent l="0" t="0" r="0" b="0"/>
            <wp:docPr id="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Πηγή: </w:t>
      </w:r>
      <w:r>
        <w:rPr>
          <w:lang w:val="en-US"/>
        </w:rPr>
        <w:t>RE</w:t>
      </w:r>
      <w:r w:rsidRPr="00DE75F8">
        <w:t>/</w:t>
      </w:r>
      <w:r>
        <w:rPr>
          <w:lang w:val="en-US"/>
        </w:rPr>
        <w:t>MAX</w:t>
      </w:r>
      <w:r w:rsidRPr="00DE75F8">
        <w:t xml:space="preserve"> </w:t>
      </w:r>
      <w:r>
        <w:t xml:space="preserve">Ελλάς                                                                                                                       </w:t>
      </w:r>
    </w:p>
    <w:p w14:paraId="06A1F240" w14:textId="77777777" w:rsidR="00187785" w:rsidRDefault="00DE75F8">
      <w:pPr>
        <w:tabs>
          <w:tab w:val="right" w:pos="9639"/>
        </w:tabs>
        <w:spacing w:before="120" w:after="120" w:line="360" w:lineRule="auto"/>
      </w:pPr>
      <w:r>
        <w:t>Στην Αττική, το 80,3% των ακινήτων που πωλήθηκαν ήταν παλαιά άνω της 20ετίας σε αντίθεση με τα νεόδμητα και τα νέα (έως πενταετίας)</w:t>
      </w:r>
      <w:r>
        <w:t xml:space="preserve"> που κάλυψαν μόλις το 6% επί των συνολικών αγοραπωλησιών (γράφημα 6).</w:t>
      </w:r>
    </w:p>
    <w:p w14:paraId="0DD73421" w14:textId="77777777" w:rsidR="00187785" w:rsidRDefault="00187785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</w:rPr>
      </w:pPr>
    </w:p>
    <w:p w14:paraId="13F79648" w14:textId="77777777" w:rsidR="00187785" w:rsidRDefault="00187785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</w:rPr>
      </w:pPr>
    </w:p>
    <w:p w14:paraId="1C4CF5CA" w14:textId="77777777" w:rsidR="00187785" w:rsidRDefault="00187785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</w:rPr>
      </w:pPr>
    </w:p>
    <w:p w14:paraId="4F7E119C" w14:textId="77777777" w:rsidR="00187785" w:rsidRDefault="00187785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2767599" w14:textId="77777777" w:rsidR="00187785" w:rsidRDefault="00DE75F8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Γράφημα  6</w:t>
      </w:r>
    </w:p>
    <w:p w14:paraId="058A45F4" w14:textId="77777777" w:rsidR="00187785" w:rsidRDefault="00DE75F8">
      <w:pPr>
        <w:pStyle w:val="-11"/>
        <w:tabs>
          <w:tab w:val="right" w:pos="9639"/>
        </w:tabs>
        <w:spacing w:before="120" w:after="120" w:line="360" w:lineRule="auto"/>
        <w:ind w:left="7040" w:hangingChars="3200" w:hanging="7040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8E0A60D" wp14:editId="2D4F0881">
            <wp:extent cx="5791200" cy="3239770"/>
            <wp:effectExtent l="0" t="0" r="0" b="0"/>
            <wp:docPr id="9" name="Γράφημα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Πηγή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  <w:lang w:val="en-US"/>
        </w:rPr>
        <w:t>RE</w:t>
      </w:r>
      <w:r w:rsidRPr="00DE75F8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MAX</w:t>
      </w:r>
      <w:r w:rsidRPr="00DE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Ελλάς</w:t>
      </w:r>
    </w:p>
    <w:p w14:paraId="24AA4D2D" w14:textId="77777777" w:rsidR="00187785" w:rsidRDefault="00DE75F8">
      <w:pPr>
        <w:pStyle w:val="-11"/>
        <w:tabs>
          <w:tab w:val="right" w:pos="9639"/>
        </w:tabs>
        <w:spacing w:before="120" w:after="120"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Αντίστοιχη είναι και η τάση που αντανακλάται στις αγοραπωλησίες που πραγματοποιήθηκαν στη Θεσσαλονίκη: τα μεγαλύτερα ποσοστά προτίμησης συναντώνται σ</w:t>
      </w:r>
      <w:r>
        <w:rPr>
          <w:rFonts w:ascii="Arial" w:hAnsi="Arial" w:cs="Arial"/>
        </w:rPr>
        <w:t>τα ακίνητα ηλικίας άνω των 20 ετών σε ποσοστό 74,1% ενώ στον αντίποδα βρίσκονται τα νεόδμητα ηλικίας έως 5 ετών που κινήθηκαν στα ίδια σχεδόν επίπεδα με το 2021 (6%) καλύπτοντας το 7,8% των συνολικών αγοραπωλησιών. (Γράφημα 7)</w:t>
      </w:r>
    </w:p>
    <w:p w14:paraId="345F7F48" w14:textId="77777777" w:rsidR="00187785" w:rsidRDefault="00DE75F8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Γράφημα 7</w:t>
      </w:r>
    </w:p>
    <w:p w14:paraId="4EA2AF05" w14:textId="77777777" w:rsidR="00187785" w:rsidRDefault="00DE75F8">
      <w:pPr>
        <w:tabs>
          <w:tab w:val="right" w:pos="9639"/>
        </w:tabs>
        <w:spacing w:before="120" w:after="120" w:line="360" w:lineRule="auto"/>
        <w:ind w:left="7150" w:hangingChars="3250" w:hanging="7150"/>
      </w:pPr>
      <w:r>
        <w:rPr>
          <w:noProof/>
        </w:rPr>
        <w:drawing>
          <wp:inline distT="0" distB="0" distL="0" distR="0" wp14:anchorId="4C061727" wp14:editId="20B3084A">
            <wp:extent cx="5890260" cy="3239770"/>
            <wp:effectExtent l="0" t="0" r="15240" b="17780"/>
            <wp:docPr id="10" name="Γράφημα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</w:t>
      </w:r>
      <w:r>
        <w:t>Πηγή</w:t>
      </w:r>
      <w:r>
        <w:t xml:space="preserve"> : </w:t>
      </w:r>
      <w:r>
        <w:rPr>
          <w:lang w:val="en-US"/>
        </w:rPr>
        <w:t>RE</w:t>
      </w:r>
      <w:r w:rsidRPr="00DE75F8">
        <w:t>/</w:t>
      </w:r>
      <w:r>
        <w:rPr>
          <w:lang w:val="en-US"/>
        </w:rPr>
        <w:t>MAX</w:t>
      </w:r>
      <w:r w:rsidRPr="00DE75F8">
        <w:t xml:space="preserve"> </w:t>
      </w:r>
      <w:r>
        <w:t>Ελλ</w:t>
      </w:r>
      <w:r>
        <w:t xml:space="preserve">άς                                                                                                                  </w:t>
      </w:r>
    </w:p>
    <w:p w14:paraId="52211FB1" w14:textId="77777777" w:rsidR="00187785" w:rsidRDefault="00DE75F8">
      <w:pPr>
        <w:tabs>
          <w:tab w:val="right" w:pos="9639"/>
        </w:tabs>
        <w:spacing w:before="120" w:after="120" w:line="360" w:lineRule="auto"/>
      </w:pPr>
      <w:r>
        <w:lastRenderedPageBreak/>
        <w:t xml:space="preserve">Στις περιοχές της υπόλοιπης Ελλάδας (εκτός Αττικής και Θεσσαλονίκης), το 71,7% των αγοραστών προτίμησε παλαιές κατοικίες (άνω των 20 </w:t>
      </w:r>
      <w:r>
        <w:t>ετών) και σε ποσοστό 9,1% κατοικίες ηλικίας από 16 έως 20 ετών. Νεόδμητα ακίνητα ηλικίας έως 5ετών επελέγησαν από το 8,3% των αγοραστών προσεγγίζοντας ουσιαστικά τα επίπεδα του 2020 (7%). (γράφημα 8)</w:t>
      </w:r>
    </w:p>
    <w:p w14:paraId="5BC9B113" w14:textId="77777777" w:rsidR="00187785" w:rsidRDefault="00DE75F8">
      <w:pPr>
        <w:tabs>
          <w:tab w:val="right" w:pos="9639"/>
        </w:tabs>
        <w:spacing w:before="120" w:after="12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Γράφημα 8</w:t>
      </w:r>
    </w:p>
    <w:p w14:paraId="639B15B2" w14:textId="77777777" w:rsidR="00187785" w:rsidRDefault="00DE75F8">
      <w:pPr>
        <w:tabs>
          <w:tab w:val="right" w:pos="9639"/>
        </w:tabs>
        <w:spacing w:before="120" w:after="120" w:line="360" w:lineRule="auto"/>
        <w:ind w:left="7150" w:hangingChars="3250" w:hanging="7150"/>
        <w:rPr>
          <w:sz w:val="24"/>
          <w:szCs w:val="24"/>
        </w:rPr>
      </w:pPr>
      <w:r>
        <w:rPr>
          <w:noProof/>
        </w:rPr>
        <w:drawing>
          <wp:inline distT="0" distB="0" distL="0" distR="0" wp14:anchorId="0F51BF8D" wp14:editId="4E2E2E55">
            <wp:extent cx="5897880" cy="3239770"/>
            <wp:effectExtent l="0" t="0" r="7620" b="0"/>
            <wp:docPr id="11" name="Γράφημα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Πηγή : </w:t>
      </w:r>
      <w:r>
        <w:rPr>
          <w:lang w:val="en-US"/>
        </w:rPr>
        <w:t xml:space="preserve">RE/MAX </w:t>
      </w:r>
      <w:r>
        <w:t>Ελλάς</w:t>
      </w:r>
    </w:p>
    <w:sectPr w:rsidR="00187785">
      <w:headerReference w:type="default" r:id="rId15"/>
      <w:footerReference w:type="default" r:id="rId16"/>
      <w:pgSz w:w="11900" w:h="16840"/>
      <w:pgMar w:top="1440" w:right="1127" w:bottom="113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4E6B" w14:textId="77777777" w:rsidR="00187785" w:rsidRDefault="00DE75F8">
      <w:pPr>
        <w:spacing w:line="240" w:lineRule="auto"/>
      </w:pPr>
      <w:r>
        <w:separator/>
      </w:r>
    </w:p>
  </w:endnote>
  <w:endnote w:type="continuationSeparator" w:id="0">
    <w:p w14:paraId="64C38CB3" w14:textId="77777777" w:rsidR="00187785" w:rsidRDefault="00DE7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0491" w14:textId="77777777" w:rsidR="00187785" w:rsidRDefault="00DE75F8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E238D98" wp14:editId="74FBCB38">
          <wp:simplePos x="0" y="0"/>
          <wp:positionH relativeFrom="column">
            <wp:posOffset>-333375</wp:posOffset>
          </wp:positionH>
          <wp:positionV relativeFrom="page">
            <wp:posOffset>10292715</wp:posOffset>
          </wp:positionV>
          <wp:extent cx="971550" cy="177800"/>
          <wp:effectExtent l="19050" t="0" r="0" b="0"/>
          <wp:wrapSquare wrapText="bothSides"/>
          <wp:docPr id="2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4FDD" w14:textId="77777777" w:rsidR="00187785" w:rsidRDefault="00DE75F8">
      <w:pPr>
        <w:spacing w:after="0"/>
      </w:pPr>
      <w:r>
        <w:separator/>
      </w:r>
    </w:p>
  </w:footnote>
  <w:footnote w:type="continuationSeparator" w:id="0">
    <w:p w14:paraId="28DE00C1" w14:textId="77777777" w:rsidR="00187785" w:rsidRDefault="00DE75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F7A7" w14:textId="77777777" w:rsidR="00187785" w:rsidRDefault="00DE75F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F8341C" wp14:editId="03F3E1A1">
          <wp:simplePos x="0" y="0"/>
          <wp:positionH relativeFrom="column">
            <wp:posOffset>5630545</wp:posOffset>
          </wp:positionH>
          <wp:positionV relativeFrom="paragraph">
            <wp:posOffset>-247650</wp:posOffset>
          </wp:positionV>
          <wp:extent cx="577850" cy="716280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3F"/>
    <w:rsid w:val="00000FAE"/>
    <w:rsid w:val="00013D44"/>
    <w:rsid w:val="00016B41"/>
    <w:rsid w:val="00022F44"/>
    <w:rsid w:val="00027596"/>
    <w:rsid w:val="00030066"/>
    <w:rsid w:val="000427DA"/>
    <w:rsid w:val="00044F17"/>
    <w:rsid w:val="00054487"/>
    <w:rsid w:val="00054E67"/>
    <w:rsid w:val="00054EC7"/>
    <w:rsid w:val="000567AA"/>
    <w:rsid w:val="00066B12"/>
    <w:rsid w:val="000714F4"/>
    <w:rsid w:val="00086863"/>
    <w:rsid w:val="00087B7A"/>
    <w:rsid w:val="000A5687"/>
    <w:rsid w:val="000B0E32"/>
    <w:rsid w:val="000B1833"/>
    <w:rsid w:val="000B286B"/>
    <w:rsid w:val="000C55F8"/>
    <w:rsid w:val="000C7795"/>
    <w:rsid w:val="000D640A"/>
    <w:rsid w:val="000E15AF"/>
    <w:rsid w:val="000F0116"/>
    <w:rsid w:val="000F3817"/>
    <w:rsid w:val="000F4A1C"/>
    <w:rsid w:val="000F5856"/>
    <w:rsid w:val="000F716D"/>
    <w:rsid w:val="000F7D40"/>
    <w:rsid w:val="0010124A"/>
    <w:rsid w:val="00106E2D"/>
    <w:rsid w:val="00115FD6"/>
    <w:rsid w:val="00122014"/>
    <w:rsid w:val="00123B1D"/>
    <w:rsid w:val="0012507A"/>
    <w:rsid w:val="00127E26"/>
    <w:rsid w:val="001343FE"/>
    <w:rsid w:val="00137565"/>
    <w:rsid w:val="001460AE"/>
    <w:rsid w:val="0014668C"/>
    <w:rsid w:val="00156811"/>
    <w:rsid w:val="00163C61"/>
    <w:rsid w:val="001705A7"/>
    <w:rsid w:val="00174B4C"/>
    <w:rsid w:val="00176638"/>
    <w:rsid w:val="00187785"/>
    <w:rsid w:val="001949AC"/>
    <w:rsid w:val="001A7C16"/>
    <w:rsid w:val="001B0B18"/>
    <w:rsid w:val="001B355D"/>
    <w:rsid w:val="001C4610"/>
    <w:rsid w:val="001C488A"/>
    <w:rsid w:val="001C5026"/>
    <w:rsid w:val="001C6D11"/>
    <w:rsid w:val="001C7D9C"/>
    <w:rsid w:val="001E4D8C"/>
    <w:rsid w:val="001E775A"/>
    <w:rsid w:val="001F3047"/>
    <w:rsid w:val="001F3478"/>
    <w:rsid w:val="001F3BD5"/>
    <w:rsid w:val="001F76C8"/>
    <w:rsid w:val="0020780A"/>
    <w:rsid w:val="002141FF"/>
    <w:rsid w:val="00215656"/>
    <w:rsid w:val="00216F30"/>
    <w:rsid w:val="0022522E"/>
    <w:rsid w:val="00225F38"/>
    <w:rsid w:val="002267CD"/>
    <w:rsid w:val="002319A5"/>
    <w:rsid w:val="002326A3"/>
    <w:rsid w:val="00233650"/>
    <w:rsid w:val="00235794"/>
    <w:rsid w:val="002434CC"/>
    <w:rsid w:val="00243BB5"/>
    <w:rsid w:val="002533A3"/>
    <w:rsid w:val="00261753"/>
    <w:rsid w:val="00263123"/>
    <w:rsid w:val="00263BB8"/>
    <w:rsid w:val="00266047"/>
    <w:rsid w:val="00273AD6"/>
    <w:rsid w:val="002760A1"/>
    <w:rsid w:val="00281268"/>
    <w:rsid w:val="00285AEA"/>
    <w:rsid w:val="002908A2"/>
    <w:rsid w:val="00290C3B"/>
    <w:rsid w:val="00292C48"/>
    <w:rsid w:val="0029382F"/>
    <w:rsid w:val="002A5DCC"/>
    <w:rsid w:val="002A75E4"/>
    <w:rsid w:val="002B2047"/>
    <w:rsid w:val="002B4071"/>
    <w:rsid w:val="002C6C55"/>
    <w:rsid w:val="002D026E"/>
    <w:rsid w:val="002D1202"/>
    <w:rsid w:val="002D732E"/>
    <w:rsid w:val="002E0638"/>
    <w:rsid w:val="002E3172"/>
    <w:rsid w:val="002E36AD"/>
    <w:rsid w:val="002E74AB"/>
    <w:rsid w:val="002F38D2"/>
    <w:rsid w:val="0030557C"/>
    <w:rsid w:val="00305B9E"/>
    <w:rsid w:val="003072C9"/>
    <w:rsid w:val="00307FDF"/>
    <w:rsid w:val="00310484"/>
    <w:rsid w:val="00314F74"/>
    <w:rsid w:val="00314F83"/>
    <w:rsid w:val="00320830"/>
    <w:rsid w:val="00331626"/>
    <w:rsid w:val="003325E2"/>
    <w:rsid w:val="00334B4F"/>
    <w:rsid w:val="00335F25"/>
    <w:rsid w:val="00350EAA"/>
    <w:rsid w:val="003615CE"/>
    <w:rsid w:val="00366B4B"/>
    <w:rsid w:val="00376EB7"/>
    <w:rsid w:val="003857BA"/>
    <w:rsid w:val="0039102A"/>
    <w:rsid w:val="0039113F"/>
    <w:rsid w:val="00392AEB"/>
    <w:rsid w:val="003A07B5"/>
    <w:rsid w:val="003A43B9"/>
    <w:rsid w:val="003A709C"/>
    <w:rsid w:val="003A73A7"/>
    <w:rsid w:val="003B2103"/>
    <w:rsid w:val="003B5EC0"/>
    <w:rsid w:val="003B6E26"/>
    <w:rsid w:val="003C4237"/>
    <w:rsid w:val="003D3509"/>
    <w:rsid w:val="003D3D20"/>
    <w:rsid w:val="003E2078"/>
    <w:rsid w:val="003E4F30"/>
    <w:rsid w:val="003E6708"/>
    <w:rsid w:val="00402F58"/>
    <w:rsid w:val="0040668A"/>
    <w:rsid w:val="00407739"/>
    <w:rsid w:val="0042083D"/>
    <w:rsid w:val="00423047"/>
    <w:rsid w:val="004264CF"/>
    <w:rsid w:val="00427EF1"/>
    <w:rsid w:val="0043601E"/>
    <w:rsid w:val="004373DF"/>
    <w:rsid w:val="00444173"/>
    <w:rsid w:val="004504A7"/>
    <w:rsid w:val="004509BA"/>
    <w:rsid w:val="00452368"/>
    <w:rsid w:val="00460781"/>
    <w:rsid w:val="004736DC"/>
    <w:rsid w:val="00477ED5"/>
    <w:rsid w:val="004803F3"/>
    <w:rsid w:val="00483F9A"/>
    <w:rsid w:val="004844B5"/>
    <w:rsid w:val="004A12A6"/>
    <w:rsid w:val="004A6952"/>
    <w:rsid w:val="004A73E4"/>
    <w:rsid w:val="004C22BC"/>
    <w:rsid w:val="004C48C5"/>
    <w:rsid w:val="004D3A0E"/>
    <w:rsid w:val="0050198D"/>
    <w:rsid w:val="00512238"/>
    <w:rsid w:val="00514C44"/>
    <w:rsid w:val="00517425"/>
    <w:rsid w:val="0052223A"/>
    <w:rsid w:val="005259A5"/>
    <w:rsid w:val="00525A09"/>
    <w:rsid w:val="00526BF0"/>
    <w:rsid w:val="00526CD5"/>
    <w:rsid w:val="00527617"/>
    <w:rsid w:val="00537008"/>
    <w:rsid w:val="005425C1"/>
    <w:rsid w:val="00543C01"/>
    <w:rsid w:val="00544EB8"/>
    <w:rsid w:val="00547441"/>
    <w:rsid w:val="00547D2C"/>
    <w:rsid w:val="00555A2D"/>
    <w:rsid w:val="00557B18"/>
    <w:rsid w:val="005670C2"/>
    <w:rsid w:val="00571592"/>
    <w:rsid w:val="005742EE"/>
    <w:rsid w:val="00595427"/>
    <w:rsid w:val="005A3880"/>
    <w:rsid w:val="005B12F2"/>
    <w:rsid w:val="005C0421"/>
    <w:rsid w:val="005C11A0"/>
    <w:rsid w:val="005D572B"/>
    <w:rsid w:val="005D7130"/>
    <w:rsid w:val="005E05F3"/>
    <w:rsid w:val="005E1967"/>
    <w:rsid w:val="005F2B98"/>
    <w:rsid w:val="005F2C1F"/>
    <w:rsid w:val="005F4BB5"/>
    <w:rsid w:val="00602B22"/>
    <w:rsid w:val="006138C0"/>
    <w:rsid w:val="0061408A"/>
    <w:rsid w:val="00616D43"/>
    <w:rsid w:val="006243DF"/>
    <w:rsid w:val="006400D1"/>
    <w:rsid w:val="00642692"/>
    <w:rsid w:val="00642D05"/>
    <w:rsid w:val="00643909"/>
    <w:rsid w:val="00647482"/>
    <w:rsid w:val="0065635F"/>
    <w:rsid w:val="00657336"/>
    <w:rsid w:val="00657D6C"/>
    <w:rsid w:val="00671ADA"/>
    <w:rsid w:val="00677898"/>
    <w:rsid w:val="0068130D"/>
    <w:rsid w:val="006824A7"/>
    <w:rsid w:val="00682ACC"/>
    <w:rsid w:val="006933B3"/>
    <w:rsid w:val="006A1423"/>
    <w:rsid w:val="006A4A83"/>
    <w:rsid w:val="006B124F"/>
    <w:rsid w:val="006B7547"/>
    <w:rsid w:val="006C0D81"/>
    <w:rsid w:val="006C191D"/>
    <w:rsid w:val="006C590D"/>
    <w:rsid w:val="006C5BAE"/>
    <w:rsid w:val="006D6AB7"/>
    <w:rsid w:val="006E532C"/>
    <w:rsid w:val="006E641A"/>
    <w:rsid w:val="006F1DF5"/>
    <w:rsid w:val="006F39C7"/>
    <w:rsid w:val="00711C16"/>
    <w:rsid w:val="00713C98"/>
    <w:rsid w:val="00715694"/>
    <w:rsid w:val="00735E7A"/>
    <w:rsid w:val="00736142"/>
    <w:rsid w:val="00741661"/>
    <w:rsid w:val="0074222C"/>
    <w:rsid w:val="00742AF4"/>
    <w:rsid w:val="00747AC8"/>
    <w:rsid w:val="007551FC"/>
    <w:rsid w:val="007559D7"/>
    <w:rsid w:val="007572AC"/>
    <w:rsid w:val="00757D4D"/>
    <w:rsid w:val="00761306"/>
    <w:rsid w:val="00763849"/>
    <w:rsid w:val="0077002F"/>
    <w:rsid w:val="0077549A"/>
    <w:rsid w:val="00781398"/>
    <w:rsid w:val="00792770"/>
    <w:rsid w:val="00795FA0"/>
    <w:rsid w:val="0079682F"/>
    <w:rsid w:val="007A142E"/>
    <w:rsid w:val="007A1D11"/>
    <w:rsid w:val="007B7574"/>
    <w:rsid w:val="007C0107"/>
    <w:rsid w:val="007C3F59"/>
    <w:rsid w:val="007D2F8E"/>
    <w:rsid w:val="007D7D01"/>
    <w:rsid w:val="007E007D"/>
    <w:rsid w:val="007E2F91"/>
    <w:rsid w:val="007E515B"/>
    <w:rsid w:val="007F0090"/>
    <w:rsid w:val="007F1E37"/>
    <w:rsid w:val="007F2770"/>
    <w:rsid w:val="007F3810"/>
    <w:rsid w:val="007F6E19"/>
    <w:rsid w:val="00813839"/>
    <w:rsid w:val="00816551"/>
    <w:rsid w:val="008171B0"/>
    <w:rsid w:val="008202AE"/>
    <w:rsid w:val="00821927"/>
    <w:rsid w:val="00825233"/>
    <w:rsid w:val="00826E40"/>
    <w:rsid w:val="00836A3F"/>
    <w:rsid w:val="00843F0D"/>
    <w:rsid w:val="008537E4"/>
    <w:rsid w:val="00860BA5"/>
    <w:rsid w:val="00862695"/>
    <w:rsid w:val="00873B6A"/>
    <w:rsid w:val="00875576"/>
    <w:rsid w:val="008778BB"/>
    <w:rsid w:val="00890CF3"/>
    <w:rsid w:val="008922EC"/>
    <w:rsid w:val="0089713F"/>
    <w:rsid w:val="00897C21"/>
    <w:rsid w:val="008B2248"/>
    <w:rsid w:val="008B24A1"/>
    <w:rsid w:val="008B762D"/>
    <w:rsid w:val="008C0756"/>
    <w:rsid w:val="008C3B0C"/>
    <w:rsid w:val="008C4F65"/>
    <w:rsid w:val="008D3196"/>
    <w:rsid w:val="008D557A"/>
    <w:rsid w:val="008E61A1"/>
    <w:rsid w:val="008E7405"/>
    <w:rsid w:val="009102B8"/>
    <w:rsid w:val="00912B6A"/>
    <w:rsid w:val="00915CA7"/>
    <w:rsid w:val="009202F8"/>
    <w:rsid w:val="009208C1"/>
    <w:rsid w:val="009242BF"/>
    <w:rsid w:val="00926965"/>
    <w:rsid w:val="00930653"/>
    <w:rsid w:val="00933DD8"/>
    <w:rsid w:val="00936CBD"/>
    <w:rsid w:val="009376CA"/>
    <w:rsid w:val="00942A74"/>
    <w:rsid w:val="00953FCC"/>
    <w:rsid w:val="00954191"/>
    <w:rsid w:val="00960375"/>
    <w:rsid w:val="00962DCB"/>
    <w:rsid w:val="00985C11"/>
    <w:rsid w:val="0098603A"/>
    <w:rsid w:val="00986073"/>
    <w:rsid w:val="009A2311"/>
    <w:rsid w:val="009A29E6"/>
    <w:rsid w:val="009A619B"/>
    <w:rsid w:val="009A7479"/>
    <w:rsid w:val="009B6539"/>
    <w:rsid w:val="009B69EB"/>
    <w:rsid w:val="009C03CC"/>
    <w:rsid w:val="009C2444"/>
    <w:rsid w:val="009C3A63"/>
    <w:rsid w:val="009E46B6"/>
    <w:rsid w:val="009E4D3B"/>
    <w:rsid w:val="009F2A43"/>
    <w:rsid w:val="009F5348"/>
    <w:rsid w:val="009F7AC1"/>
    <w:rsid w:val="00A02329"/>
    <w:rsid w:val="00A04795"/>
    <w:rsid w:val="00A11424"/>
    <w:rsid w:val="00A160AA"/>
    <w:rsid w:val="00A20923"/>
    <w:rsid w:val="00A2133E"/>
    <w:rsid w:val="00A221AE"/>
    <w:rsid w:val="00A221E3"/>
    <w:rsid w:val="00A224A5"/>
    <w:rsid w:val="00A24229"/>
    <w:rsid w:val="00A24233"/>
    <w:rsid w:val="00A24AED"/>
    <w:rsid w:val="00A24EB9"/>
    <w:rsid w:val="00A37A9D"/>
    <w:rsid w:val="00A41B9E"/>
    <w:rsid w:val="00A43F43"/>
    <w:rsid w:val="00A66129"/>
    <w:rsid w:val="00A8343A"/>
    <w:rsid w:val="00A83F3E"/>
    <w:rsid w:val="00A94D1B"/>
    <w:rsid w:val="00A97981"/>
    <w:rsid w:val="00AA0140"/>
    <w:rsid w:val="00AA48D9"/>
    <w:rsid w:val="00AB0DF8"/>
    <w:rsid w:val="00AB3D8D"/>
    <w:rsid w:val="00AB4DC8"/>
    <w:rsid w:val="00AC1570"/>
    <w:rsid w:val="00AC4256"/>
    <w:rsid w:val="00AD03F0"/>
    <w:rsid w:val="00AD35C3"/>
    <w:rsid w:val="00AD641A"/>
    <w:rsid w:val="00AE20E4"/>
    <w:rsid w:val="00AE22DC"/>
    <w:rsid w:val="00AE358D"/>
    <w:rsid w:val="00AE4F08"/>
    <w:rsid w:val="00AE7232"/>
    <w:rsid w:val="00AF3824"/>
    <w:rsid w:val="00AF4E7B"/>
    <w:rsid w:val="00AF5A25"/>
    <w:rsid w:val="00B137AB"/>
    <w:rsid w:val="00B14802"/>
    <w:rsid w:val="00B24ACD"/>
    <w:rsid w:val="00B2544F"/>
    <w:rsid w:val="00B25600"/>
    <w:rsid w:val="00B27F03"/>
    <w:rsid w:val="00B3352F"/>
    <w:rsid w:val="00B3644D"/>
    <w:rsid w:val="00B41194"/>
    <w:rsid w:val="00B41809"/>
    <w:rsid w:val="00B42D2B"/>
    <w:rsid w:val="00B4559D"/>
    <w:rsid w:val="00B54F7E"/>
    <w:rsid w:val="00B704AA"/>
    <w:rsid w:val="00B77898"/>
    <w:rsid w:val="00B82B3E"/>
    <w:rsid w:val="00B84AAB"/>
    <w:rsid w:val="00B974E7"/>
    <w:rsid w:val="00BA11F0"/>
    <w:rsid w:val="00BA26A2"/>
    <w:rsid w:val="00BA426F"/>
    <w:rsid w:val="00BB077B"/>
    <w:rsid w:val="00BB170D"/>
    <w:rsid w:val="00BB2FAF"/>
    <w:rsid w:val="00BB3955"/>
    <w:rsid w:val="00BB4095"/>
    <w:rsid w:val="00BB52C7"/>
    <w:rsid w:val="00BB57FB"/>
    <w:rsid w:val="00BC7D1E"/>
    <w:rsid w:val="00BD3337"/>
    <w:rsid w:val="00BD5B2C"/>
    <w:rsid w:val="00BD60BD"/>
    <w:rsid w:val="00BD7C23"/>
    <w:rsid w:val="00BE4E61"/>
    <w:rsid w:val="00BE57D1"/>
    <w:rsid w:val="00BF17A2"/>
    <w:rsid w:val="00BF5548"/>
    <w:rsid w:val="00C01B47"/>
    <w:rsid w:val="00C06338"/>
    <w:rsid w:val="00C13CCD"/>
    <w:rsid w:val="00C34249"/>
    <w:rsid w:val="00C3587A"/>
    <w:rsid w:val="00C377CE"/>
    <w:rsid w:val="00C40C52"/>
    <w:rsid w:val="00C44F51"/>
    <w:rsid w:val="00C4682D"/>
    <w:rsid w:val="00C510BE"/>
    <w:rsid w:val="00C55762"/>
    <w:rsid w:val="00C564AF"/>
    <w:rsid w:val="00C604E9"/>
    <w:rsid w:val="00C63D92"/>
    <w:rsid w:val="00C72EB1"/>
    <w:rsid w:val="00C82E2A"/>
    <w:rsid w:val="00C92328"/>
    <w:rsid w:val="00C94D1C"/>
    <w:rsid w:val="00CA14EF"/>
    <w:rsid w:val="00CB2334"/>
    <w:rsid w:val="00CB2F7E"/>
    <w:rsid w:val="00CB501B"/>
    <w:rsid w:val="00CC1E85"/>
    <w:rsid w:val="00CC3C12"/>
    <w:rsid w:val="00CE00DF"/>
    <w:rsid w:val="00CE2726"/>
    <w:rsid w:val="00CE6BA5"/>
    <w:rsid w:val="00CE6F6A"/>
    <w:rsid w:val="00CF2153"/>
    <w:rsid w:val="00CF68DB"/>
    <w:rsid w:val="00CF7450"/>
    <w:rsid w:val="00D109BE"/>
    <w:rsid w:val="00D250C1"/>
    <w:rsid w:val="00D257CC"/>
    <w:rsid w:val="00D334DB"/>
    <w:rsid w:val="00D35292"/>
    <w:rsid w:val="00D370E7"/>
    <w:rsid w:val="00D45767"/>
    <w:rsid w:val="00D461F2"/>
    <w:rsid w:val="00D46254"/>
    <w:rsid w:val="00D53445"/>
    <w:rsid w:val="00D53F93"/>
    <w:rsid w:val="00D63502"/>
    <w:rsid w:val="00D65021"/>
    <w:rsid w:val="00D7018E"/>
    <w:rsid w:val="00D73AFD"/>
    <w:rsid w:val="00D77FDE"/>
    <w:rsid w:val="00D818AA"/>
    <w:rsid w:val="00D83BF2"/>
    <w:rsid w:val="00D8617D"/>
    <w:rsid w:val="00D93D93"/>
    <w:rsid w:val="00DA36E0"/>
    <w:rsid w:val="00DA558C"/>
    <w:rsid w:val="00DB2E83"/>
    <w:rsid w:val="00DB5D2F"/>
    <w:rsid w:val="00DB6626"/>
    <w:rsid w:val="00DB6D5A"/>
    <w:rsid w:val="00DD36AF"/>
    <w:rsid w:val="00DD3E4D"/>
    <w:rsid w:val="00DD4989"/>
    <w:rsid w:val="00DD6842"/>
    <w:rsid w:val="00DD6947"/>
    <w:rsid w:val="00DE1226"/>
    <w:rsid w:val="00DE1F8E"/>
    <w:rsid w:val="00DE2FD7"/>
    <w:rsid w:val="00DE411C"/>
    <w:rsid w:val="00DE5501"/>
    <w:rsid w:val="00DE75F8"/>
    <w:rsid w:val="00DF1707"/>
    <w:rsid w:val="00E0169F"/>
    <w:rsid w:val="00E11223"/>
    <w:rsid w:val="00E12AD5"/>
    <w:rsid w:val="00E13517"/>
    <w:rsid w:val="00E14F58"/>
    <w:rsid w:val="00E21D07"/>
    <w:rsid w:val="00E230CC"/>
    <w:rsid w:val="00E23DED"/>
    <w:rsid w:val="00E26AF5"/>
    <w:rsid w:val="00E30B88"/>
    <w:rsid w:val="00E32A2C"/>
    <w:rsid w:val="00E41184"/>
    <w:rsid w:val="00E42E70"/>
    <w:rsid w:val="00E47413"/>
    <w:rsid w:val="00E566E2"/>
    <w:rsid w:val="00E6032B"/>
    <w:rsid w:val="00E61B05"/>
    <w:rsid w:val="00E636FC"/>
    <w:rsid w:val="00E650BA"/>
    <w:rsid w:val="00E6634C"/>
    <w:rsid w:val="00E70925"/>
    <w:rsid w:val="00E769FD"/>
    <w:rsid w:val="00E76E84"/>
    <w:rsid w:val="00E81FAC"/>
    <w:rsid w:val="00E83254"/>
    <w:rsid w:val="00E91C83"/>
    <w:rsid w:val="00EA0B10"/>
    <w:rsid w:val="00EA1598"/>
    <w:rsid w:val="00EA20E3"/>
    <w:rsid w:val="00EA2371"/>
    <w:rsid w:val="00EA3491"/>
    <w:rsid w:val="00EB4BAC"/>
    <w:rsid w:val="00EC2CA9"/>
    <w:rsid w:val="00EC5C23"/>
    <w:rsid w:val="00EC614A"/>
    <w:rsid w:val="00ED3DE7"/>
    <w:rsid w:val="00ED70BD"/>
    <w:rsid w:val="00EE3ABD"/>
    <w:rsid w:val="00EE7086"/>
    <w:rsid w:val="00EE7CBE"/>
    <w:rsid w:val="00EF0ACF"/>
    <w:rsid w:val="00EF49E1"/>
    <w:rsid w:val="00EF4AB4"/>
    <w:rsid w:val="00EF5FA4"/>
    <w:rsid w:val="00EF7138"/>
    <w:rsid w:val="00F01E1E"/>
    <w:rsid w:val="00F04F1C"/>
    <w:rsid w:val="00F07362"/>
    <w:rsid w:val="00F1087E"/>
    <w:rsid w:val="00F1413E"/>
    <w:rsid w:val="00F22DFA"/>
    <w:rsid w:val="00F26BD7"/>
    <w:rsid w:val="00F37440"/>
    <w:rsid w:val="00F53C24"/>
    <w:rsid w:val="00F608EC"/>
    <w:rsid w:val="00F636C8"/>
    <w:rsid w:val="00F67717"/>
    <w:rsid w:val="00F71120"/>
    <w:rsid w:val="00F7371D"/>
    <w:rsid w:val="00F83CA6"/>
    <w:rsid w:val="00F8534C"/>
    <w:rsid w:val="00F86214"/>
    <w:rsid w:val="00FA23D3"/>
    <w:rsid w:val="00FA4307"/>
    <w:rsid w:val="00FA7766"/>
    <w:rsid w:val="00FA7CEC"/>
    <w:rsid w:val="00FB04CF"/>
    <w:rsid w:val="00FB70D6"/>
    <w:rsid w:val="00FB7D01"/>
    <w:rsid w:val="00FC173D"/>
    <w:rsid w:val="00FC257F"/>
    <w:rsid w:val="00FC485B"/>
    <w:rsid w:val="00FD07B0"/>
    <w:rsid w:val="00FD552F"/>
    <w:rsid w:val="2C403B5E"/>
    <w:rsid w:val="2FF718C7"/>
    <w:rsid w:val="41D8473E"/>
    <w:rsid w:val="48062375"/>
    <w:rsid w:val="4D487A86"/>
    <w:rsid w:val="54034FD6"/>
    <w:rsid w:val="5426288A"/>
    <w:rsid w:val="66E74694"/>
    <w:rsid w:val="730D2C89"/>
    <w:rsid w:val="7B887131"/>
    <w:rsid w:val="7E97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4B9A0"/>
  <w15:docId w15:val="{D79672EC-FDFF-488C-8E3D-C0D1066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-11">
    <w:name w:val="Πολύχρωμη λίστα - ΄Εμφαση 11"/>
    <w:basedOn w:val="Normal"/>
    <w:uiPriority w:val="34"/>
    <w:qFormat/>
    <w:pPr>
      <w:ind w:left="720"/>
      <w:contextualSpacing/>
    </w:pPr>
    <w:rPr>
      <w:rFonts w:ascii="Calibri" w:hAnsi="Calibri" w:cs="Times New Roman"/>
    </w:rPr>
  </w:style>
  <w:style w:type="paragraph" w:customStyle="1" w:styleId="DocumentTitle">
    <w:name w:val="Document Title"/>
    <w:basedOn w:val="Title"/>
    <w:qFormat/>
    <w:pPr>
      <w:pBdr>
        <w:bottom w:val="none" w:sz="0" w:space="0" w:color="auto"/>
      </w:pBdr>
      <w:spacing w:after="680" w:line="204" w:lineRule="auto"/>
      <w:ind w:right="1418"/>
    </w:pPr>
    <w:rPr>
      <w:rFonts w:ascii="Cambria" w:eastAsia="Times New Roman" w:hAnsi="Cambria"/>
      <w:b/>
      <w:color w:val="C0504D"/>
      <w:spacing w:val="0"/>
      <w:kern w:val="0"/>
      <w:sz w:val="88"/>
      <w:szCs w:val="74"/>
      <w:lang w:val="en-GB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color w:val="17365D"/>
      <w:spacing w:val="5"/>
      <w:kern w:val="28"/>
      <w:sz w:val="52"/>
      <w:szCs w:val="52"/>
      <w:lang w:val="el-GR"/>
    </w:rPr>
  </w:style>
  <w:style w:type="character" w:customStyle="1" w:styleId="HeaderChar">
    <w:name w:val="Header Char"/>
    <w:link w:val="Header"/>
    <w:uiPriority w:val="99"/>
    <w:rPr>
      <w:rFonts w:eastAsia="Calibri" w:cs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Pr>
      <w:rFonts w:eastAsia="Calibri" w:cs="Arial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Pr>
      <w:rFonts w:eastAsia="Calibri" w:cs="Arial"/>
      <w:i/>
      <w:iCs/>
      <w:color w:val="4F81BD" w:themeColor="accent1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Calibri" w:cs="Arial"/>
      <w:lang w:eastAsia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κατά είδος των πωληθέντων ακινήτων 2022 Ι Πανελλαδικά </a:t>
            </a:r>
          </a:p>
        </c:rich>
      </c:tx>
      <c:layout>
        <c:manualLayout>
          <c:xMode val="edge"/>
          <c:yMode val="edge"/>
          <c:x val="0.10750827199231699"/>
          <c:y val="7.840062720501760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00203361469276"/>
          <c:y val="0.25760088582677199"/>
          <c:w val="0.79959327706144701"/>
          <c:h val="0.64151697834645705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explosion val="39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064-40AC-8EBE-5B73BD79927A}"/>
              </c:ext>
            </c:extLst>
          </c:dPt>
          <c:dPt>
            <c:idx val="1"/>
            <c:bubble3D val="0"/>
            <c:explosion val="3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064-40AC-8EBE-5B73BD79927A}"/>
              </c:ext>
            </c:extLst>
          </c:dPt>
          <c:dPt>
            <c:idx val="2"/>
            <c:bubble3D val="0"/>
            <c:explosion val="2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064-40AC-8EBE-5B73BD79927A}"/>
              </c:ext>
            </c:extLst>
          </c:dPt>
          <c:dLbls>
            <c:dLbl>
              <c:idx val="0"/>
              <c:layout>
                <c:manualLayout>
                  <c:x val="-0.14029840084346001"/>
                  <c:y val="-0.198966711879425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Κατοικίες </a:t>
                    </a:r>
                  </a:p>
                  <a:p>
                    <a:r>
                      <a:rPr lang="el-GR"/>
                      <a:t>7</a:t>
                    </a:r>
                    <a:r>
                      <a:rPr lang="el-GR" altLang="en-US"/>
                      <a:t>5,3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064-40AC-8EBE-5B73BD79927A}"/>
                </c:ext>
              </c:extLst>
            </c:dLbl>
            <c:dLbl>
              <c:idx val="1"/>
              <c:layout>
                <c:manualLayout>
                  <c:x val="0.129162144205658"/>
                  <c:y val="6.2247628689690901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Οικόπεδα/Αγροτεμάχια</a:t>
                    </a:r>
                  </a:p>
                  <a:p>
                    <a:r>
                      <a:rPr lang="el-GR"/>
                      <a:t>1</a:t>
                    </a:r>
                    <a:r>
                      <a:rPr lang="el-GR" altLang="en-US"/>
                      <a:t>9,5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064-40AC-8EBE-5B73BD79927A}"/>
                </c:ext>
              </c:extLst>
            </c:dLbl>
            <c:dLbl>
              <c:idx val="2"/>
              <c:layout>
                <c:manualLayout>
                  <c:x val="4.8610371072037001E-2"/>
                  <c:y val="7.98485694972174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Επαγγελματικά</a:t>
                    </a:r>
                  </a:p>
                  <a:p>
                    <a:r>
                      <a:rPr lang="el-GR" altLang="en-US"/>
                      <a:t>5,2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064-40AC-8EBE-5B73BD7992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Φύλλο1!$B$7:$B$9</c:f>
              <c:strCache>
                <c:ptCount val="3"/>
                <c:pt idx="0">
                  <c:v>Κατοικίες </c:v>
                </c:pt>
                <c:pt idx="1">
                  <c:v>Οικόπεδα/Αγροτεμάχια</c:v>
                </c:pt>
                <c:pt idx="2">
                  <c:v>Επαγγελματικά</c:v>
                </c:pt>
              </c:strCache>
            </c:strRef>
          </c:cat>
          <c:val>
            <c:numRef>
              <c:f>Φύλλο1!$C$7:$C$9</c:f>
              <c:numCache>
                <c:formatCode>0%</c:formatCode>
                <c:ptCount val="3"/>
                <c:pt idx="0">
                  <c:v>0.74</c:v>
                </c:pt>
                <c:pt idx="1">
                  <c:v>0.17599999999999999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64-40AC-8EBE-5B73BD79927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κατά είδος των πωληθέντων ακινήτων 2022 Ι Αττική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explosion val="2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DB2-4C3B-B403-1CC39AEAE27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DB2-4C3B-B403-1CC39AEAE27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DB2-4C3B-B403-1CC39AEAE272}"/>
              </c:ext>
            </c:extLst>
          </c:dPt>
          <c:dLbls>
            <c:dLbl>
              <c:idx val="0"/>
              <c:layout>
                <c:manualLayout>
                  <c:x val="-0.126770259564077"/>
                  <c:y val="-0.219128320365783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Κατοικίες </a:t>
                    </a:r>
                  </a:p>
                  <a:p>
                    <a:r>
                      <a:rPr lang="el-GR"/>
                      <a:t>8</a:t>
                    </a:r>
                    <a:r>
                      <a:rPr lang="el-GR" altLang="en-US"/>
                      <a:t>7,3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B2-4C3B-B403-1CC39AEAE272}"/>
                </c:ext>
              </c:extLst>
            </c:dLbl>
            <c:dLbl>
              <c:idx val="1"/>
              <c:layout>
                <c:manualLayout>
                  <c:x val="9.1629622246586301E-2"/>
                  <c:y val="6.3446479225377106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Οικόπεδα/Αγροτεμάχια</a:t>
                    </a:r>
                  </a:p>
                  <a:p>
                    <a:r>
                      <a:rPr lang="el-GR" altLang="en-US"/>
                      <a:t>7,5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DB2-4C3B-B403-1CC39AEAE272}"/>
                </c:ext>
              </c:extLst>
            </c:dLbl>
            <c:dLbl>
              <c:idx val="2"/>
              <c:layout>
                <c:manualLayout>
                  <c:x val="5.8434997840459801E-2"/>
                  <c:y val="5.8071406303533898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Επαγγελματικά</a:t>
                    </a:r>
                  </a:p>
                  <a:p>
                    <a:r>
                      <a:rPr lang="el-GR" altLang="en-US"/>
                      <a:t>5,2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761603375527401"/>
                      <c:h val="0.10701685613484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FDB2-4C3B-B403-1CC39AEAE2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Φύλλο1!$F$7:$F$9</c:f>
              <c:strCache>
                <c:ptCount val="3"/>
                <c:pt idx="0">
                  <c:v>Κατοικίες </c:v>
                </c:pt>
                <c:pt idx="1">
                  <c:v>Οικόπεδα/Αγροτεμάχια</c:v>
                </c:pt>
                <c:pt idx="2">
                  <c:v>Επαγγελματικά</c:v>
                </c:pt>
              </c:strCache>
            </c:strRef>
          </c:cat>
          <c:val>
            <c:numRef>
              <c:f>Φύλλο1!$G$7:$G$9</c:f>
              <c:numCache>
                <c:formatCode>0%</c:formatCode>
                <c:ptCount val="3"/>
                <c:pt idx="0">
                  <c:v>0.81</c:v>
                </c:pt>
                <c:pt idx="1">
                  <c:v>0.104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B2-4C3B-B403-1CC39AEAE27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κατά είδος των πωληθέντων ακινήτων 2022 Ι Θεσσαλονίκη</a:t>
            </a:r>
          </a:p>
        </c:rich>
      </c:tx>
      <c:layout>
        <c:manualLayout>
          <c:xMode val="edge"/>
          <c:yMode val="edge"/>
          <c:x val="0.16198377347603701"/>
          <c:y val="2.721088435374149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explosion val="5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D27-4CF3-B1B0-517633EFAC5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D27-4CF3-B1B0-517633EFAC5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D27-4CF3-B1B0-517633EFAC53}"/>
              </c:ext>
            </c:extLst>
          </c:dPt>
          <c:dLbls>
            <c:dLbl>
              <c:idx val="0"/>
              <c:layout>
                <c:manualLayout>
                  <c:x val="-8.4400125789857602E-2"/>
                  <c:y val="-0.18821616910040401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Κατοικίες </a:t>
                    </a:r>
                  </a:p>
                  <a:p>
                    <a:r>
                      <a:rPr lang="el-GR" altLang="en-US"/>
                      <a:t>90,2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D27-4CF3-B1B0-517633EFAC53}"/>
                </c:ext>
              </c:extLst>
            </c:dLbl>
            <c:dLbl>
              <c:idx val="1"/>
              <c:layout>
                <c:manualLayout>
                  <c:x val="7.0836618331453799E-2"/>
                  <c:y val="5.8868376458822702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Οικόπεδα/Αγροτεμάχια</a:t>
                    </a:r>
                  </a:p>
                  <a:p>
                    <a:r>
                      <a:rPr lang="el-GR" altLang="en-US"/>
                      <a:t>4,</a:t>
                    </a:r>
                    <a:r>
                      <a:rPr lang="el-GR"/>
                      <a:t>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D27-4CF3-B1B0-517633EFAC53}"/>
                </c:ext>
              </c:extLst>
            </c:dLbl>
            <c:dLbl>
              <c:idx val="2"/>
              <c:layout>
                <c:manualLayout>
                  <c:x val="5.2510154386595197E-2"/>
                  <c:y val="8.1281387258972104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Επαγγελματικά</a:t>
                    </a:r>
                  </a:p>
                  <a:p>
                    <a:r>
                      <a:rPr lang="el-GR" altLang="en-US"/>
                      <a:t>5,1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D27-4CF3-B1B0-517633EFAC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Φύλλο1!$J$7:$J$9</c:f>
              <c:strCache>
                <c:ptCount val="3"/>
                <c:pt idx="0">
                  <c:v>Κατοικίες </c:v>
                </c:pt>
                <c:pt idx="1">
                  <c:v>Οικόπεδα/Αγροτεμάχια</c:v>
                </c:pt>
                <c:pt idx="2">
                  <c:v>Επαγγελματικά</c:v>
                </c:pt>
              </c:strCache>
            </c:strRef>
          </c:cat>
          <c:val>
            <c:numRef>
              <c:f>Φύλλο1!$K$7:$K$9</c:f>
              <c:numCache>
                <c:formatCode>0%</c:formatCode>
                <c:ptCount val="3"/>
                <c:pt idx="0">
                  <c:v>0.84</c:v>
                </c:pt>
                <c:pt idx="1">
                  <c:v>6.5000000000000002E-2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D27-4CF3-B1B0-517633EFAC5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l-G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κατά είδος των πωληθέντων ακινήτων 2022 Ι Υπόλοιπη Ελλάδα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00694444444444"/>
          <c:y val="0.35947084927637102"/>
          <c:w val="0.79861111111111105"/>
          <c:h val="0.63495388377657602"/>
        </c:manualLayout>
      </c:layout>
      <c:pie3DChart>
        <c:varyColors val="1"/>
        <c:ser>
          <c:idx val="0"/>
          <c:order val="0"/>
          <c:explosion val="3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18CF-4270-928F-3DD8E9D58A7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18CF-4270-928F-3DD8E9D58A7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18CF-4270-928F-3DD8E9D58A75}"/>
              </c:ext>
            </c:extLst>
          </c:dPt>
          <c:dLbls>
            <c:dLbl>
              <c:idx val="0"/>
              <c:layout>
                <c:manualLayout>
                  <c:x val="-0.168553349775799"/>
                  <c:y val="-0.16588903192031401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Κατοικίες </a:t>
                    </a:r>
                  </a:p>
                  <a:p>
                    <a:r>
                      <a:rPr lang="el-GR"/>
                      <a:t>68</a:t>
                    </a:r>
                    <a:r>
                      <a:rPr lang="el-GR" altLang="en-US"/>
                      <a:t>,5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8CF-4270-928F-3DD8E9D58A75}"/>
                </c:ext>
              </c:extLst>
            </c:dLbl>
            <c:dLbl>
              <c:idx val="1"/>
              <c:layout>
                <c:manualLayout>
                  <c:x val="0.121214241712468"/>
                  <c:y val="-7.5322843803276293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Οικόπεδα/Αγροτεμάχια</a:t>
                    </a:r>
                  </a:p>
                  <a:p>
                    <a:r>
                      <a:rPr lang="el-GR"/>
                      <a:t>26</a:t>
                    </a:r>
                    <a:r>
                      <a:rPr lang="el-GR" altLang="en-US"/>
                      <a:t>,3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8CF-4270-928F-3DD8E9D58A75}"/>
                </c:ext>
              </c:extLst>
            </c:dLbl>
            <c:dLbl>
              <c:idx val="2"/>
              <c:layout>
                <c:manualLayout>
                  <c:x val="3.1739820034341497E-2"/>
                  <c:y val="3.5806243351195802E-4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Επαγγελματικά</a:t>
                    </a:r>
                  </a:p>
                  <a:p>
                    <a:r>
                      <a:rPr lang="el-GR" altLang="en-US"/>
                      <a:t>5,2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8CF-4270-928F-3DD8E9D58A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Φύλλο1!$N$7:$N$9</c:f>
              <c:strCache>
                <c:ptCount val="3"/>
                <c:pt idx="0">
                  <c:v>Κατοικίες </c:v>
                </c:pt>
                <c:pt idx="1">
                  <c:v>Οικόπεδα/Αγροτεμάχια</c:v>
                </c:pt>
                <c:pt idx="2">
                  <c:v>Επαγγελματικά</c:v>
                </c:pt>
              </c:strCache>
            </c:strRef>
          </c:cat>
          <c:val>
            <c:numRef>
              <c:f>Φύλλο1!$O$7:$O$9</c:f>
              <c:numCache>
                <c:formatCode>0%</c:formatCode>
                <c:ptCount val="3"/>
                <c:pt idx="0">
                  <c:v>0.68</c:v>
                </c:pt>
                <c:pt idx="1">
                  <c:v>0.26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CF-4270-928F-3DD8E9D58A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l-G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με βάση την ηλικία των πωληθέντων κατοικιών το 2022 Ι Πανελλαδικά</a:t>
            </a:r>
          </a:p>
        </c:rich>
      </c:tx>
      <c:layout>
        <c:manualLayout>
          <c:xMode val="edge"/>
          <c:yMode val="edge"/>
          <c:x val="0.105760773966579"/>
          <c:y val="1.730510752688170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17297883219143"/>
          <c:y val="0.18881945806596201"/>
          <c:w val="0.81388888888888899"/>
          <c:h val="0.6674595363079619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4"/>
            <c:spPr>
              <a:gradFill rotWithShape="1">
                <a:gsLst>
                  <a:gs pos="0">
                    <a:schemeClr val="accent1">
                      <a:tint val="54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54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54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2CEF-4DBE-B49D-67BF8B5B296D}"/>
              </c:ext>
            </c:extLst>
          </c:dPt>
          <c:dPt>
            <c:idx val="1"/>
            <c:bubble3D val="0"/>
            <c:explosion val="53"/>
            <c:spPr>
              <a:gradFill rotWithShape="1">
                <a:gsLst>
                  <a:gs pos="0">
                    <a:schemeClr val="accent1">
                      <a:tint val="77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77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7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2CEF-4DBE-B49D-67BF8B5B296D}"/>
              </c:ext>
            </c:extLst>
          </c:dPt>
          <c:dPt>
            <c:idx val="2"/>
            <c:bubble3D val="0"/>
            <c:explosion val="31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2CEF-4DBE-B49D-67BF8B5B296D}"/>
              </c:ext>
            </c:extLst>
          </c:dPt>
          <c:dPt>
            <c:idx val="3"/>
            <c:bubble3D val="0"/>
            <c:explosion val="29"/>
            <c:spPr>
              <a:gradFill rotWithShape="1">
                <a:gsLst>
                  <a:gs pos="0">
                    <a:schemeClr val="accent1">
                      <a:shade val="76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76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7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2CEF-4DBE-B49D-67BF8B5B296D}"/>
              </c:ext>
            </c:extLst>
          </c:dPt>
          <c:dPt>
            <c:idx val="4"/>
            <c:bubble3D val="0"/>
            <c:explosion val="50"/>
            <c:spPr>
              <a:gradFill rotWithShape="1">
                <a:gsLst>
                  <a:gs pos="0">
                    <a:schemeClr val="accent1">
                      <a:shade val="53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53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53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2CEF-4DBE-B49D-67BF8B5B296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l-GR"/>
                      <a:t>0-5 έτη</a:t>
                    </a:r>
                  </a:p>
                  <a:p>
                    <a:r>
                      <a:rPr lang="el-GR" altLang="en-US"/>
                      <a:t>7,</a:t>
                    </a:r>
                    <a:r>
                      <a:rPr lang="el-GR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CEF-4DBE-B49D-67BF8B5B296D}"/>
                </c:ext>
              </c:extLst>
            </c:dLbl>
            <c:dLbl>
              <c:idx val="1"/>
              <c:layout>
                <c:manualLayout>
                  <c:x val="-7.6766286470127898E-2"/>
                  <c:y val="5.1816632799932302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6-10 έτη</a:t>
                    </a:r>
                  </a:p>
                  <a:p>
                    <a:r>
                      <a:rPr lang="el-GR" altLang="en-US"/>
                      <a:t>3,1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CEF-4DBE-B49D-67BF8B5B296D}"/>
                </c:ext>
              </c:extLst>
            </c:dLbl>
            <c:dLbl>
              <c:idx val="2"/>
              <c:layout>
                <c:manualLayout>
                  <c:x val="-0.120657864666653"/>
                  <c:y val="3.6446427059520801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11-</a:t>
                    </a:r>
                    <a:r>
                      <a:rPr lang="el-GR" altLang="en-US"/>
                      <a:t>1</a:t>
                    </a:r>
                    <a:r>
                      <a:rPr lang="el-GR"/>
                      <a:t>5 έτη</a:t>
                    </a:r>
                  </a:p>
                  <a:p>
                    <a:r>
                      <a:rPr lang="el-GR" altLang="en-US"/>
                      <a:t>7,7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CEF-4DBE-B49D-67BF8B5B296D}"/>
                </c:ext>
              </c:extLst>
            </c:dLbl>
            <c:dLbl>
              <c:idx val="3"/>
              <c:layout>
                <c:manualLayout>
                  <c:x val="-0.13388804631611001"/>
                  <c:y val="-9.7096985860638405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16-20 έτη</a:t>
                    </a:r>
                  </a:p>
                  <a:p>
                    <a:r>
                      <a:rPr lang="el-GR" altLang="en-US"/>
                      <a:t>7,8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2CEF-4DBE-B49D-67BF8B5B296D}"/>
                </c:ext>
              </c:extLst>
            </c:dLbl>
            <c:dLbl>
              <c:idx val="4"/>
              <c:layout>
                <c:manualLayout>
                  <c:x val="0.160887295946781"/>
                  <c:y val="-0.15341208915040599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άνω των 20 ετών</a:t>
                    </a:r>
                  </a:p>
                  <a:p>
                    <a:r>
                      <a:rPr lang="el-GR" altLang="en-US"/>
                      <a:t>7</a:t>
                    </a:r>
                    <a:r>
                      <a:rPr lang="el-GR"/>
                      <a:t>3</a:t>
                    </a:r>
                    <a:r>
                      <a:rPr lang="el-GR" altLang="en-US"/>
                      <a:t>,6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2CEF-4DBE-B49D-67BF8B5B29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Φύλλο1!$B$19:$B$23</c:f>
              <c:strCache>
                <c:ptCount val="5"/>
                <c:pt idx="0">
                  <c:v>0-5 έτη</c:v>
                </c:pt>
                <c:pt idx="1">
                  <c:v>6-10 έτη</c:v>
                </c:pt>
                <c:pt idx="2">
                  <c:v>11-15 έτη</c:v>
                </c:pt>
                <c:pt idx="3">
                  <c:v>16-20 έτη</c:v>
                </c:pt>
                <c:pt idx="4">
                  <c:v>άνω των 20 ετών</c:v>
                </c:pt>
              </c:strCache>
            </c:strRef>
          </c:cat>
          <c:val>
            <c:numRef>
              <c:f>Φύλλο1!$C$19:$C$23</c:f>
              <c:numCache>
                <c:formatCode>0%</c:formatCode>
                <c:ptCount val="5"/>
                <c:pt idx="0">
                  <c:v>7.4999999999999997E-2</c:v>
                </c:pt>
                <c:pt idx="1">
                  <c:v>5.8000000000000003E-2</c:v>
                </c:pt>
                <c:pt idx="2">
                  <c:v>0.113</c:v>
                </c:pt>
                <c:pt idx="3">
                  <c:v>0.12</c:v>
                </c:pt>
                <c:pt idx="4">
                  <c:v>0.63400000000000001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CEF-4DBE-B49D-67BF8B5B296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l-G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με βάση την ηλικία των πωληθέντων κατοικιών το 2022 Ι Αττική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8.3092105263157898E-2"/>
          <c:y val="0.266315170521364"/>
          <c:w val="0.83754385964912303"/>
          <c:h val="0.55694237553900405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4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54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54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A636-4F11-AA3E-B7565DC57B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tint val="77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77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7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A636-4F11-AA3E-B7565DC57B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A636-4F11-AA3E-B7565DC57B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shade val="76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76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7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A636-4F11-AA3E-B7565DC57B39}"/>
              </c:ext>
            </c:extLst>
          </c:dPt>
          <c:dPt>
            <c:idx val="4"/>
            <c:bubble3D val="0"/>
            <c:explosion val="60"/>
            <c:spPr>
              <a:gradFill rotWithShape="1">
                <a:gsLst>
                  <a:gs pos="0">
                    <a:schemeClr val="accent1">
                      <a:shade val="53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53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53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A636-4F11-AA3E-B7565DC57B39}"/>
              </c:ext>
            </c:extLst>
          </c:dPt>
          <c:dLbls>
            <c:dLbl>
              <c:idx val="0"/>
              <c:layout>
                <c:manualLayout>
                  <c:x val="-4.0241228070175397E-2"/>
                  <c:y val="3.5868286946295597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0-5 έτη</a:t>
                    </a:r>
                  </a:p>
                  <a:p>
                    <a:r>
                      <a:rPr lang="el-GR" altLang="en-US"/>
                      <a:t>6,0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36-4F11-AA3E-B7565DC57B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l-GR"/>
                      <a:t>6-10 έτη</a:t>
                    </a:r>
                  </a:p>
                  <a:p>
                    <a:r>
                      <a:rPr lang="el-GR" altLang="en-US"/>
                      <a:t>0,9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636-4F11-AA3E-B7565DC57B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l-GR"/>
                      <a:t>11-15 έτη</a:t>
                    </a:r>
                  </a:p>
                  <a:p>
                    <a:r>
                      <a:rPr lang="el-GR" altLang="en-US"/>
                      <a:t>7,7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636-4F11-AA3E-B7565DC57B39}"/>
                </c:ext>
              </c:extLst>
            </c:dLbl>
            <c:dLbl>
              <c:idx val="3"/>
              <c:layout>
                <c:manualLayout>
                  <c:x val="-6.9305497996960896E-2"/>
                  <c:y val="1.91025906160005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16-20 έτη</a:t>
                    </a:r>
                  </a:p>
                  <a:p>
                    <a:r>
                      <a:rPr lang="el-GR" altLang="en-US"/>
                      <a:t>5,1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636-4F11-AA3E-B7565DC57B3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l-GR"/>
                      <a:t>άνω των 20 ετών</a:t>
                    </a:r>
                  </a:p>
                  <a:p>
                    <a:r>
                      <a:rPr lang="el-GR" altLang="en-US"/>
                      <a:t>80,3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A636-4F11-AA3E-B7565DC57B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lt1">
                      <a:lumMod val="95000"/>
                      <a:alpha val="54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Φύλλο1!$F$19:$F$23</c:f>
              <c:strCache>
                <c:ptCount val="5"/>
                <c:pt idx="0">
                  <c:v>0-5 έτη</c:v>
                </c:pt>
                <c:pt idx="1">
                  <c:v>6-10 έτη</c:v>
                </c:pt>
                <c:pt idx="2">
                  <c:v>11-15 έτη</c:v>
                </c:pt>
                <c:pt idx="3">
                  <c:v>16-20 έτη</c:v>
                </c:pt>
                <c:pt idx="4">
                  <c:v>άνω των 20 ετών</c:v>
                </c:pt>
              </c:strCache>
            </c:strRef>
          </c:cat>
          <c:val>
            <c:numRef>
              <c:f>Φύλλο1!$G$19:$G$23</c:f>
              <c:numCache>
                <c:formatCode>0%</c:formatCode>
                <c:ptCount val="5"/>
                <c:pt idx="0">
                  <c:v>2.1000000000000001E-2</c:v>
                </c:pt>
                <c:pt idx="1">
                  <c:v>1.7999999999999999E-2</c:v>
                </c:pt>
                <c:pt idx="2">
                  <c:v>0.109</c:v>
                </c:pt>
                <c:pt idx="3">
                  <c:v>9.1999999999999998E-2</c:v>
                </c:pt>
                <c:pt idx="4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636-4F11-AA3E-B7565DC57B3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l-G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με βάση την ηλικία των πωληθέντων κατοικιών το 2022 Ι Θεσσαλονίκη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8.2595946528676106E-2"/>
          <c:y val="0.272783222265778"/>
          <c:w val="0.838257869771453"/>
          <c:h val="0.5569423755390040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42"/>
            <c:spPr>
              <a:gradFill rotWithShape="1">
                <a:gsLst>
                  <a:gs pos="0">
                    <a:schemeClr val="accent1">
                      <a:tint val="54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54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54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D162-4F3B-B288-8691AA6BBCD7}"/>
              </c:ext>
            </c:extLst>
          </c:dPt>
          <c:dPt>
            <c:idx val="1"/>
            <c:bubble3D val="0"/>
            <c:explosion val="41"/>
            <c:spPr>
              <a:gradFill rotWithShape="1">
                <a:gsLst>
                  <a:gs pos="0">
                    <a:schemeClr val="accent1">
                      <a:tint val="77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77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7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D162-4F3B-B288-8691AA6BBCD7}"/>
              </c:ext>
            </c:extLst>
          </c:dPt>
          <c:dPt>
            <c:idx val="2"/>
            <c:bubble3D val="0"/>
            <c:explosion val="2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D162-4F3B-B288-8691AA6BBCD7}"/>
              </c:ext>
            </c:extLst>
          </c:dPt>
          <c:dPt>
            <c:idx val="3"/>
            <c:bubble3D val="0"/>
            <c:explosion val="15"/>
            <c:spPr>
              <a:gradFill rotWithShape="1">
                <a:gsLst>
                  <a:gs pos="0">
                    <a:schemeClr val="accent1">
                      <a:shade val="76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76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7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D162-4F3B-B288-8691AA6BBCD7}"/>
              </c:ext>
            </c:extLst>
          </c:dPt>
          <c:dPt>
            <c:idx val="4"/>
            <c:bubble3D val="0"/>
            <c:explosion val="44"/>
            <c:spPr>
              <a:gradFill rotWithShape="1">
                <a:gsLst>
                  <a:gs pos="0">
                    <a:schemeClr val="accent1">
                      <a:shade val="53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53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53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D162-4F3B-B288-8691AA6BBCD7}"/>
              </c:ext>
            </c:extLst>
          </c:dPt>
          <c:dLbls>
            <c:dLbl>
              <c:idx val="0"/>
              <c:layout>
                <c:manualLayout>
                  <c:x val="-3.4897101316410502E-2"/>
                  <c:y val="8.1308241017109192E-3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0-5 έτη</a:t>
                    </a:r>
                  </a:p>
                  <a:p>
                    <a:r>
                      <a:rPr lang="el-GR" altLang="en-US"/>
                      <a:t>7,8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162-4F3B-B288-8691AA6BBCD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l-GR"/>
                      <a:t>6-10 έτη</a:t>
                    </a:r>
                  </a:p>
                  <a:p>
                    <a:r>
                      <a:rPr lang="el-GR" altLang="en-US"/>
                      <a:t>2,6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162-4F3B-B288-8691AA6BBCD7}"/>
                </c:ext>
              </c:extLst>
            </c:dLbl>
            <c:dLbl>
              <c:idx val="2"/>
              <c:layout>
                <c:manualLayout>
                  <c:x val="-4.8892408824058702E-2"/>
                  <c:y val="2.46366254394602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11-15 έτη</a:t>
                    </a:r>
                  </a:p>
                  <a:p>
                    <a:r>
                      <a:rPr lang="el-GR" altLang="en-US"/>
                      <a:t>8,6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162-4F3B-B288-8691AA6BBCD7}"/>
                </c:ext>
              </c:extLst>
            </c:dLbl>
            <c:dLbl>
              <c:idx val="3"/>
              <c:layout>
                <c:manualLayout>
                  <c:x val="-3.6497370234930299E-2"/>
                  <c:y val="-2.5566938393774899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16-20 έτη</a:t>
                    </a:r>
                  </a:p>
                  <a:p>
                    <a:r>
                      <a:rPr lang="el-GR" altLang="en-US"/>
                      <a:t>6,9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162-4F3B-B288-8691AA6BBCD7}"/>
                </c:ext>
              </c:extLst>
            </c:dLbl>
            <c:dLbl>
              <c:idx val="4"/>
              <c:layout>
                <c:manualLayout>
                  <c:x val="-4.1289348857266102E-2"/>
                  <c:y val="-5.8800470403763197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άνω των 20 ετών</a:t>
                    </a:r>
                  </a:p>
                  <a:p>
                    <a:r>
                      <a:rPr lang="el-GR"/>
                      <a:t>7</a:t>
                    </a:r>
                    <a:r>
                      <a:rPr lang="el-GR" altLang="en-US"/>
                      <a:t>4,1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162-4F3B-B288-8691AA6BBC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Φύλλο1!$J$19:$J$23</c:f>
              <c:strCache>
                <c:ptCount val="5"/>
                <c:pt idx="0">
                  <c:v>0-5 έτη</c:v>
                </c:pt>
                <c:pt idx="1">
                  <c:v>6-10 έτη</c:v>
                </c:pt>
                <c:pt idx="2">
                  <c:v>11-15 έτη</c:v>
                </c:pt>
                <c:pt idx="3">
                  <c:v>16-20 έτη</c:v>
                </c:pt>
                <c:pt idx="4">
                  <c:v>άνω των 20 ετών</c:v>
                </c:pt>
              </c:strCache>
            </c:strRef>
          </c:cat>
          <c:val>
            <c:numRef>
              <c:f>Φύλλο1!$K$19:$K$23</c:f>
              <c:numCache>
                <c:formatCode>0%</c:formatCode>
                <c:ptCount val="5"/>
                <c:pt idx="0">
                  <c:v>0.06</c:v>
                </c:pt>
                <c:pt idx="1">
                  <c:v>3.5000000000000003E-2</c:v>
                </c:pt>
                <c:pt idx="2">
                  <c:v>0.108</c:v>
                </c:pt>
                <c:pt idx="3">
                  <c:v>9.5000000000000001E-2</c:v>
                </c:pt>
                <c:pt idx="4">
                  <c:v>0.70199999999999996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162-4F3B-B288-8691AA6BBCD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l-G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Κατανομή με βάση την ηλικία των πωληθέντων κατοικιών το 2022 Ι Υπόλοιπη Ελλάδα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24"/>
            <c:spPr>
              <a:gradFill rotWithShape="1">
                <a:gsLst>
                  <a:gs pos="0">
                    <a:schemeClr val="accent1">
                      <a:tint val="54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54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54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B711-4B8D-961E-A96427A42B89}"/>
              </c:ext>
            </c:extLst>
          </c:dPt>
          <c:dPt>
            <c:idx val="1"/>
            <c:bubble3D val="0"/>
            <c:explosion val="26"/>
            <c:spPr>
              <a:gradFill rotWithShape="1">
                <a:gsLst>
                  <a:gs pos="0">
                    <a:schemeClr val="accent1">
                      <a:tint val="77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77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7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B711-4B8D-961E-A96427A42B89}"/>
              </c:ext>
            </c:extLst>
          </c:dPt>
          <c:dPt>
            <c:idx val="2"/>
            <c:bubble3D val="0"/>
            <c:explosion val="28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B711-4B8D-961E-A96427A42B89}"/>
              </c:ext>
            </c:extLst>
          </c:dPt>
          <c:dPt>
            <c:idx val="3"/>
            <c:bubble3D val="0"/>
            <c:explosion val="30"/>
            <c:spPr>
              <a:gradFill rotWithShape="1">
                <a:gsLst>
                  <a:gs pos="0">
                    <a:schemeClr val="accent1">
                      <a:shade val="76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76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7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B711-4B8D-961E-A96427A42B89}"/>
              </c:ext>
            </c:extLst>
          </c:dPt>
          <c:dPt>
            <c:idx val="4"/>
            <c:bubble3D val="0"/>
            <c:explosion val="16"/>
            <c:spPr>
              <a:gradFill rotWithShape="1">
                <a:gsLst>
                  <a:gs pos="0">
                    <a:schemeClr val="accent1">
                      <a:shade val="53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53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53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B711-4B8D-961E-A96427A42B89}"/>
              </c:ext>
            </c:extLst>
          </c:dPt>
          <c:dLbls>
            <c:dLbl>
              <c:idx val="0"/>
              <c:layout>
                <c:manualLayout>
                  <c:x val="-4.86927506154754E-2"/>
                  <c:y val="9.9242538822200299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0-5 έτη</a:t>
                    </a:r>
                  </a:p>
                  <a:p>
                    <a:r>
                      <a:rPr lang="el-GR" altLang="en-US"/>
                      <a:t>8,3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711-4B8D-961E-A96427A42B89}"/>
                </c:ext>
              </c:extLst>
            </c:dLbl>
            <c:dLbl>
              <c:idx val="1"/>
              <c:layout>
                <c:manualLayout>
                  <c:x val="-7.2717315374337996E-2"/>
                  <c:y val="3.5180892470761803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6-10 έτη</a:t>
                    </a:r>
                  </a:p>
                  <a:p>
                    <a:r>
                      <a:rPr lang="el-GR" altLang="en-US"/>
                      <a:t>3,2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711-4B8D-961E-A96427A42B89}"/>
                </c:ext>
              </c:extLst>
            </c:dLbl>
            <c:dLbl>
              <c:idx val="2"/>
              <c:layout>
                <c:manualLayout>
                  <c:x val="-9.6911771687453796E-2"/>
                  <c:y val="-0.102493695540116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11-15 έτη</a:t>
                    </a:r>
                  </a:p>
                  <a:p>
                    <a:r>
                      <a:rPr lang="el-GR" altLang="en-US"/>
                      <a:t>7,7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4853574504737304E-2"/>
                      <c:h val="0.10231281850254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B711-4B8D-961E-A96427A42B89}"/>
                </c:ext>
              </c:extLst>
            </c:dLbl>
            <c:dLbl>
              <c:idx val="3"/>
              <c:layout>
                <c:manualLayout>
                  <c:x val="-8.2940141203279902E-2"/>
                  <c:y val="-0.18599591946341901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16-20 έτη</a:t>
                    </a:r>
                    <a:r>
                      <a:rPr lang="el-GR" altLang="en-US"/>
                      <a:t> </a:t>
                    </a:r>
                  </a:p>
                  <a:p>
                    <a:r>
                      <a:rPr lang="el-GR" altLang="en-US"/>
                      <a:t>9,1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987080103359199"/>
                      <c:h val="0.1373970991767929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B711-4B8D-961E-A96427A42B8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l-GR"/>
                      <a:t>άνω των 20 ετών</a:t>
                    </a:r>
                  </a:p>
                  <a:p>
                    <a:r>
                      <a:rPr lang="el-GR" altLang="en-US"/>
                      <a:t>71,7</a:t>
                    </a:r>
                    <a:r>
                      <a:rPr lang="el-GR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B711-4B8D-961E-A96427A42B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Φύλλο1!$N$19:$N$23</c:f>
              <c:strCache>
                <c:ptCount val="5"/>
                <c:pt idx="0">
                  <c:v>0-5 έτη</c:v>
                </c:pt>
                <c:pt idx="1">
                  <c:v>6-10 έτη</c:v>
                </c:pt>
                <c:pt idx="2">
                  <c:v>11-15 έτη</c:v>
                </c:pt>
                <c:pt idx="3">
                  <c:v>16-20 έτη</c:v>
                </c:pt>
                <c:pt idx="4">
                  <c:v>άνω των 20 ετών</c:v>
                </c:pt>
              </c:strCache>
            </c:strRef>
          </c:cat>
          <c:val>
            <c:numRef>
              <c:f>Φύλλο1!$O$19:$O$23</c:f>
              <c:numCache>
                <c:formatCode>0%</c:formatCode>
                <c:ptCount val="5"/>
                <c:pt idx="0">
                  <c:v>0.113</c:v>
                </c:pt>
                <c:pt idx="1">
                  <c:v>9.8000000000000004E-2</c:v>
                </c:pt>
                <c:pt idx="2">
                  <c:v>0.11799999999999999</c:v>
                </c:pt>
                <c:pt idx="3">
                  <c:v>0.14499999999999999</c:v>
                </c:pt>
                <c:pt idx="4">
                  <c:v>0.52600000000000002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11-4B8D-961E-A96427A42B8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9525" cap="flat" cmpd="sng" algn="ctr">
      <a:noFill/>
      <a:prstDash val="solid"/>
      <a:round/>
    </a:ln>
    <a:effectLst/>
  </c:spPr>
  <c:txPr>
    <a:bodyPr/>
    <a:lstStyle/>
    <a:p>
      <a:pPr>
        <a:defRPr lang="en-US"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920D-AD85-4389-9325-4B3F6F2692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742</Words>
  <Characters>4012</Characters>
  <Application>Microsoft Office Word</Application>
  <DocSecurity>4</DocSecurity>
  <Lines>33</Lines>
  <Paragraphs>9</Paragraphs>
  <ScaleCrop>false</ScaleCrop>
  <Company>remax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remaxgreece</dc:creator>
  <cp:lastModifiedBy>Θανάσης Σαρακίνος</cp:lastModifiedBy>
  <cp:revision>2</cp:revision>
  <cp:lastPrinted>2022-05-16T09:29:00Z</cp:lastPrinted>
  <dcterms:created xsi:type="dcterms:W3CDTF">2023-05-18T08:39:00Z</dcterms:created>
  <dcterms:modified xsi:type="dcterms:W3CDTF">2023-05-18T08:39:00Z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E604D164F36E47F69F6B9C4EC2B4C5BC</vt:lpwstr>
  </property>
</Properties>
</file>